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2" w:rsidRPr="00381E52" w:rsidRDefault="00381E52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РАЗДЕЛ 2</w:t>
      </w:r>
    </w:p>
    <w:p w:rsid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УКАЗАНИЯ ЗА ИЗГОТВЯНЕ НА ОФЕРТА</w:t>
      </w:r>
    </w:p>
    <w:p w:rsidR="0015009F" w:rsidRP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УЧАСТИЕ В ОБЩЕСТВЕНА ПОРЪЧКА ЧРЕЗ СЪБИРАНЕ НА ОФЕРТИ С ОБЯВА ПО РЕДА НА ГЛАВА 26 ОТ ЗОП</w:t>
      </w:r>
    </w:p>
    <w:p w:rsidR="00381E52" w:rsidRDefault="00381E52" w:rsidP="001844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15009F" w:rsidRPr="00C50525" w:rsidRDefault="00322816" w:rsidP="00C50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:rsidR="00D546AD" w:rsidRDefault="0015009F" w:rsidP="00D546AD">
      <w:pPr>
        <w:spacing w:line="360" w:lineRule="auto"/>
        <w:jc w:val="both"/>
        <w:rPr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 на настоящата обществена поръчка за избор на изпълнител по реда на Закона за обществени поръчки, съгласно чл.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5, ал.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2, т.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от ЗОП е Кметът на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административен адрес: гр.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500,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л. „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3,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интернет адрес: </w:t>
      </w:r>
      <w:hyperlink r:id="rId8" w:tgtFrame="_blank" w:history="1">
        <w:r w:rsidR="00F935EC" w:rsidRPr="00C50525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www.panagyurishte.org</w:t>
        </w:r>
      </w:hyperlink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профил на купувача: </w:t>
      </w:r>
      <w:hyperlink r:id="rId9" w:history="1">
        <w:r w:rsidR="00D546AD">
          <w:rPr>
            <w:rStyle w:val="ab"/>
          </w:rPr>
          <w:t>https://panagyurishte.nit.bg/</w:t>
        </w:r>
      </w:hyperlink>
    </w:p>
    <w:p w:rsidR="0015009F" w:rsidRPr="00C50525" w:rsidRDefault="00322816" w:rsidP="00D546A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ПРЕДМЕТ НА ОБЩЕСТВЕНАТА ПОРЪЧКА</w:t>
      </w:r>
    </w:p>
    <w:p w:rsidR="00F82EF3" w:rsidRPr="00F82EF3" w:rsidRDefault="0015009F" w:rsidP="00F82E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eastAsia="bg-BG" w:bidi="bg-BG"/>
        </w:rPr>
      </w:pPr>
      <w:r w:rsidRPr="005D086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обществена поръчка е с предмет:</w:t>
      </w:r>
      <w:r w:rsidRPr="005D086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82EF3">
        <w:rPr>
          <w:rStyle w:val="BodytextBold"/>
          <w:rFonts w:eastAsia="Calibri"/>
        </w:rPr>
        <w:t>„ИЗГРАЖДАНЕ НА СПОРТНИ ПЛОЩАДКИ В УЧИЛИЩАТА НА ОБЩИНА ПАНАГЮРИЩЕ” - проектиране и строителство</w:t>
      </w:r>
      <w:r w:rsidR="00F82EF3" w:rsidRPr="00F82EF3">
        <w:rPr>
          <w:rFonts w:ascii="Times New Roman" w:eastAsia="Times New Roman" w:hAnsi="Times New Roman" w:cs="Times New Roman"/>
          <w:color w:val="000000"/>
          <w:sz w:val="21"/>
          <w:szCs w:val="21"/>
          <w:lang w:bidi="bg-BG"/>
        </w:rPr>
        <w:t xml:space="preserve"> </w:t>
      </w:r>
      <w:r w:rsidR="00F82EF3" w:rsidRPr="00F82EF3">
        <w:rPr>
          <w:rFonts w:ascii="Times New Roman" w:hAnsi="Times New Roman" w:cs="Times New Roman"/>
          <w:bCs/>
          <w:color w:val="000000"/>
          <w:sz w:val="21"/>
          <w:szCs w:val="21"/>
          <w:lang w:eastAsia="bg-BG" w:bidi="bg-BG"/>
        </w:rPr>
        <w:t>в:</w:t>
      </w:r>
    </w:p>
    <w:p w:rsidR="00F82EF3" w:rsidRPr="00F82EF3" w:rsidRDefault="00F82EF3" w:rsidP="00F82EF3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с. Поибрсне,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УПИ I - ОУ „Свещеник Недельо Иванов” една площадка с размери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en-US"/>
        </w:rPr>
        <w:t xml:space="preserve">10x10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метра или 100 m2,</w:t>
      </w:r>
    </w:p>
    <w:p w:rsidR="00F82EF3" w:rsidRPr="00F82EF3" w:rsidRDefault="00F82EF3" w:rsidP="00F82EF3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с . Попинци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,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УПИ I - ОУ „Отец Паисий” една площадка с размери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en-US"/>
        </w:rPr>
        <w:t xml:space="preserve">10x10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метра или 100 m2,</w:t>
      </w:r>
    </w:p>
    <w:p w:rsidR="00F82EF3" w:rsidRPr="00F82EF3" w:rsidRDefault="00F82EF3" w:rsidP="00F82EF3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гр. Панагюрище,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У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П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И I - ОУ „20-ти април” една площадка с размери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en-US"/>
        </w:rPr>
        <w:t xml:space="preserve">10x12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метра или 120 m2,</w:t>
      </w:r>
    </w:p>
    <w:p w:rsidR="00F82EF3" w:rsidRPr="00F82EF3" w:rsidRDefault="00F82EF3" w:rsidP="00F82EF3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гр. Панагюрище, У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ПИ I - ОУ „Проф. Марин Дринов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”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една площадка 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с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размери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en-US"/>
        </w:rPr>
        <w:t xml:space="preserve">10x12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метра или 120 m2,</w:t>
      </w:r>
    </w:p>
    <w:p w:rsidR="0015009F" w:rsidRPr="00F82EF3" w:rsidRDefault="00F82EF3" w:rsidP="00FF6BC5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гр. Панагюрище,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УПИ I - СУ 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„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Нешо Бончев" една площадка с размери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en-US"/>
        </w:rPr>
        <w:t xml:space="preserve">10x12 </w:t>
      </w:r>
      <w:r w:rsidRPr="00F82EF3">
        <w:rPr>
          <w:rFonts w:ascii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метра или 120 m2</w:t>
      </w:r>
      <w:r w:rsidR="00FF6BC5" w:rsidRPr="00F82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FF6BC5" w:rsidRPr="00C50525" w:rsidRDefault="00FF6BC5" w:rsidP="00FF6BC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 ОПИСАНИЕ НА ПОРЪЧКАТА</w:t>
      </w:r>
    </w:p>
    <w:p w:rsidR="00F82EF3" w:rsidRDefault="00F82EF3" w:rsidP="00F82EF3">
      <w:pPr>
        <w:pStyle w:val="Bodytext20"/>
        <w:shd w:val="clear" w:color="auto" w:fill="auto"/>
        <w:tabs>
          <w:tab w:val="left" w:pos="718"/>
        </w:tabs>
        <w:spacing w:after="81" w:line="360" w:lineRule="auto"/>
        <w:ind w:left="20" w:firstLine="689"/>
        <w:jc w:val="both"/>
      </w:pPr>
      <w:r>
        <w:rPr>
          <w:color w:val="000000"/>
          <w:lang w:bidi="bg-BG"/>
        </w:rPr>
        <w:t>Предмета на поръчката включва:</w:t>
      </w:r>
    </w:p>
    <w:p w:rsidR="00F82EF3" w:rsidRDefault="00F82EF3" w:rsidP="00F82EF3">
      <w:pPr>
        <w:pStyle w:val="Bodytext0"/>
        <w:shd w:val="clear" w:color="auto" w:fill="auto"/>
        <w:spacing w:before="0" w:after="0" w:line="360" w:lineRule="auto"/>
        <w:ind w:right="20" w:firstLine="689"/>
      </w:pPr>
      <w:r>
        <w:rPr>
          <w:color w:val="000000"/>
          <w:lang w:bidi="bg-BG"/>
        </w:rPr>
        <w:t>1. Изготвяне на проектна документация по част Паркоустройство и Благоустройство, част Геодезия, част Конструкции, част ПБЗ за 5 броя стрийт фитнес площадки, за които ще бъде издадено разрешение за строеж на основание чл. 147, ал.10 от ЗУТ във връзка с чл.55 от ЗУТ.</w:t>
      </w:r>
    </w:p>
    <w:p w:rsidR="00F82EF3" w:rsidRDefault="00F82EF3" w:rsidP="00F82EF3">
      <w:pPr>
        <w:pStyle w:val="Bodytext0"/>
        <w:shd w:val="clear" w:color="auto" w:fill="auto"/>
        <w:spacing w:before="0" w:after="316" w:line="360" w:lineRule="auto"/>
        <w:ind w:left="20" w:firstLine="689"/>
      </w:pPr>
      <w:r>
        <w:rPr>
          <w:color w:val="000000"/>
          <w:lang w:bidi="bg-BG"/>
        </w:rPr>
        <w:t>2. Изграждане на стрийт фитнес площадки на открито, съгласно одобрените проекти.</w:t>
      </w:r>
    </w:p>
    <w:p w:rsidR="00F82EF3" w:rsidRDefault="00F82EF3" w:rsidP="00F82EF3">
      <w:pPr>
        <w:pStyle w:val="Bodytext0"/>
        <w:shd w:val="clear" w:color="auto" w:fill="auto"/>
        <w:spacing w:before="0" w:after="260" w:line="360" w:lineRule="auto"/>
        <w:ind w:left="20" w:right="20" w:firstLine="689"/>
      </w:pPr>
      <w:r>
        <w:rPr>
          <w:color w:val="000000"/>
          <w:lang w:bidi="bg-BG"/>
        </w:rPr>
        <w:lastRenderedPageBreak/>
        <w:t xml:space="preserve">В предмета на поръчката е включено изготвянето на проектна документация и изграждане на спортни площадки, обхващащи минимум следните видове работи: направа механизиран изкоп за основа 20см., направа на ръчни изкопи за стъпки за фитнес съоръженията, кофраж, армиране и бетониране на стъпки за фитнес съоръженията, доставка и полагане на трошен камък за подравняване и уплътняване на терена, доставка и полагане на </w:t>
      </w:r>
      <w:r>
        <w:rPr>
          <w:rStyle w:val="BodytextCandara95pt"/>
        </w:rPr>
        <w:t>1</w:t>
      </w:r>
      <w:r>
        <w:rPr>
          <w:color w:val="000000"/>
          <w:lang w:bidi="bg-BG"/>
        </w:rPr>
        <w:t>радински бордюри за ограждане на терена, полагане на бетон с дебелина 10 см., доставка и монтаж на стрийт фитнес съоръжения по изискванията на Техническата спецификация, доставка и полагане на каучукова ударопоглъщаща настилка с дебелина 25 мм зелена и червена, извозване на земни маси и строителни отпадъци на депо и изработка, доставка и монтаж на информационна табела.</w:t>
      </w:r>
    </w:p>
    <w:p w:rsidR="00381E52" w:rsidRPr="00F54598" w:rsidRDefault="00F82EF3" w:rsidP="00F82EF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F82EF3">
        <w:rPr>
          <w:rFonts w:ascii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>Технически изисквания към външните стрийт фитнес съоръжения и оборудване на площадките</w:t>
      </w:r>
      <w:r w:rsidR="00381E52" w:rsidRPr="00F82E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и</w:t>
      </w:r>
      <w:r w:rsidR="00381E52" w:rsidRPr="00F545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изискванията на възложителя към изпълнението са подробно описани в Раздел 1 – Т</w:t>
      </w:r>
      <w:r w:rsidR="009F6D72" w:rsidRPr="00F545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е</w:t>
      </w:r>
      <w:r w:rsidR="00381E52" w:rsidRPr="00F545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хническа спецификация.</w:t>
      </w:r>
    </w:p>
    <w:p w:rsidR="007F4101" w:rsidRPr="00F54598" w:rsidRDefault="007F4101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F54598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545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Прогнозна стойност на поръчката</w:t>
      </w:r>
    </w:p>
    <w:p w:rsidR="00381E52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F545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обществена поръчка е с прогнозна стойност, в размер на </w:t>
      </w:r>
      <w:r w:rsidR="00F82EF3" w:rsidRPr="00F82EF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101</w:t>
      </w:r>
      <w:r w:rsidR="005D0865" w:rsidRPr="00F54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5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="00F82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75</w:t>
      </w:r>
      <w:r w:rsidR="005D0865" w:rsidRPr="00F5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.00</w:t>
      </w:r>
      <w:r w:rsidR="005D0865" w:rsidRPr="00F54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0865" w:rsidRPr="00F5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лева</w:t>
      </w:r>
      <w:r w:rsidR="00F5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475B47" w:rsidRPr="00FF6BC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:rsidR="00F13742" w:rsidRPr="00C50525" w:rsidRDefault="00F13742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Посочената прогнозна стойност е максимално допустимата стойност в лв. без ДДС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която може да бъде оферирана от участниците.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на валидност на офертите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на валидн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 на офертите следва да е </w:t>
      </w:r>
      <w:r w:rsidR="0084041D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A731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крайния срок за подаване на оферти.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за получаване ма оферти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за получаване на оферти е 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 дни, от публикуването на обявата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188. ал. 1 от ЗОП.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Обособени позиции</w:t>
      </w:r>
    </w:p>
    <w:p w:rsidR="00F54598" w:rsidRPr="00F54598" w:rsidRDefault="00F54598" w:rsidP="00F5459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F54598">
        <w:rPr>
          <w:rFonts w:ascii="Times New Roman" w:eastAsia="Times New Roman" w:hAnsi="Times New Roman"/>
          <w:bCs/>
          <w:sz w:val="24"/>
          <w:szCs w:val="24"/>
          <w:lang w:val="bg-BG"/>
        </w:rPr>
        <w:t>Поръчката не е разделена на обособени позиции</w:t>
      </w: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Разяснения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Условия и начин на плащане</w:t>
      </w:r>
    </w:p>
    <w:p w:rsidR="009A2D02" w:rsidRPr="00C50525" w:rsidRDefault="009A2D02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50525">
        <w:rPr>
          <w:rFonts w:ascii="Times New Roman" w:hAnsi="Times New Roman"/>
          <w:sz w:val="24"/>
          <w:szCs w:val="24"/>
          <w:lang w:val="ru-RU" w:eastAsia="bg-BG"/>
        </w:rPr>
        <w:t>Плащанията ще се извършват съгласно условията на проекто-договора</w:t>
      </w:r>
      <w:r w:rsidRPr="00C50525">
        <w:rPr>
          <w:rFonts w:ascii="Times New Roman" w:hAnsi="Times New Roman"/>
          <w:sz w:val="24"/>
          <w:szCs w:val="24"/>
          <w:lang w:val="bg-BG" w:eastAsia="bg-BG"/>
        </w:rPr>
        <w:t>, а именно:</w:t>
      </w:r>
    </w:p>
    <w:p w:rsidR="002B6844" w:rsidRPr="002B6844" w:rsidRDefault="002B6844" w:rsidP="002B6844">
      <w:pPr>
        <w:pStyle w:val="af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auto"/>
        <w:ind w:firstLine="689"/>
        <w:rPr>
          <w:sz w:val="24"/>
          <w:szCs w:val="24"/>
        </w:rPr>
      </w:pPr>
      <w:r w:rsidRPr="002B6844">
        <w:rPr>
          <w:rStyle w:val="af5"/>
        </w:rPr>
        <w:t xml:space="preserve">Междинни плащания </w:t>
      </w:r>
      <w:r w:rsidRPr="002B6844">
        <w:rPr>
          <w:sz w:val="24"/>
          <w:szCs w:val="24"/>
        </w:rPr>
        <w:t xml:space="preserve">до достигане на 80 </w:t>
      </w:r>
      <w:r w:rsidRPr="002B6844">
        <w:rPr>
          <w:rStyle w:val="BookAntiqua"/>
          <w:rFonts w:ascii="Times New Roman" w:hAnsi="Times New Roman" w:cs="Times New Roman"/>
          <w:sz w:val="24"/>
          <w:szCs w:val="24"/>
        </w:rPr>
        <w:t>%</w:t>
      </w:r>
      <w:r w:rsidRPr="002B6844">
        <w:rPr>
          <w:sz w:val="24"/>
          <w:szCs w:val="24"/>
        </w:rPr>
        <w:t xml:space="preserve"> /осемдесет процента/ от стойността на договора. За всяко плащане се представят двустранно подписани протоколи за действително извършен обем работа, </w:t>
      </w:r>
      <w:r w:rsidRPr="002B6844">
        <w:rPr>
          <w:color w:val="000000"/>
          <w:lang w:bidi="bg-BG"/>
        </w:rPr>
        <w:t>документи по Наредба № 3/2003г. за съставяне на актове и протоколи по време на строителството и представена фактура от изпълнителя</w:t>
      </w:r>
    </w:p>
    <w:p w:rsidR="002B6844" w:rsidRPr="00350F8C" w:rsidRDefault="002B6844" w:rsidP="002B6844">
      <w:pPr>
        <w:pStyle w:val="af4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360" w:lineRule="auto"/>
        <w:ind w:firstLine="689"/>
        <w:rPr>
          <w:sz w:val="24"/>
          <w:szCs w:val="24"/>
        </w:rPr>
      </w:pPr>
      <w:r w:rsidRPr="00350F8C">
        <w:rPr>
          <w:sz w:val="24"/>
          <w:szCs w:val="24"/>
        </w:rPr>
        <w:t xml:space="preserve"> </w:t>
      </w:r>
      <w:r w:rsidRPr="00350F8C">
        <w:rPr>
          <w:rStyle w:val="af5"/>
          <w:color w:val="auto"/>
        </w:rPr>
        <w:t xml:space="preserve">Окончателно плащане </w:t>
      </w:r>
      <w:r w:rsidRPr="00350F8C">
        <w:rPr>
          <w:sz w:val="24"/>
          <w:szCs w:val="24"/>
        </w:rPr>
        <w:t xml:space="preserve">(в размер до 20%) се извършва в срок до 30 /тридесет/ дни след </w:t>
      </w:r>
      <w:r w:rsidR="00B519B4" w:rsidRPr="00350F8C">
        <w:rPr>
          <w:sz w:val="24"/>
          <w:szCs w:val="24"/>
        </w:rPr>
        <w:t>приключване</w:t>
      </w:r>
      <w:r w:rsidRPr="00350F8C">
        <w:rPr>
          <w:sz w:val="24"/>
          <w:szCs w:val="24"/>
        </w:rPr>
        <w:t xml:space="preserve"> на обекта</w:t>
      </w:r>
      <w:r w:rsidR="002732C1" w:rsidRPr="002732C1">
        <w:rPr>
          <w:rFonts w:eastAsia="Calibri" w:cs="Calibri"/>
          <w:sz w:val="24"/>
          <w:szCs w:val="24"/>
          <w:lang w:eastAsia="pl-PL"/>
        </w:rPr>
        <w:t xml:space="preserve"> </w:t>
      </w:r>
      <w:bookmarkStart w:id="0" w:name="_GoBack"/>
      <w:r w:rsidR="002732C1" w:rsidRPr="002732C1">
        <w:rPr>
          <w:rFonts w:eastAsia="Calibri" w:cs="Calibri"/>
          <w:sz w:val="24"/>
          <w:szCs w:val="24"/>
          <w:lang w:eastAsia="pl-PL"/>
        </w:rPr>
        <w:t xml:space="preserve">и подписан </w:t>
      </w:r>
      <w:r w:rsidR="00F82EF3">
        <w:rPr>
          <w:rFonts w:eastAsia="Calibri" w:cs="Calibri"/>
          <w:sz w:val="24"/>
          <w:szCs w:val="24"/>
          <w:lang w:eastAsia="pl-PL"/>
        </w:rPr>
        <w:t>приемо-предавателен протокол,</w:t>
      </w:r>
      <w:r w:rsidR="002732C1" w:rsidRPr="002732C1">
        <w:rPr>
          <w:rFonts w:eastAsia="Calibri" w:cs="Calibri"/>
          <w:sz w:val="24"/>
          <w:szCs w:val="24"/>
          <w:lang w:eastAsia="pl-PL"/>
        </w:rPr>
        <w:t xml:space="preserve"> без забележки</w:t>
      </w:r>
      <w:r w:rsidRPr="00350F8C">
        <w:rPr>
          <w:sz w:val="24"/>
          <w:szCs w:val="24"/>
        </w:rPr>
        <w:t>.</w:t>
      </w:r>
      <w:bookmarkEnd w:id="0"/>
    </w:p>
    <w:p w:rsidR="002B6844" w:rsidRPr="002B6844" w:rsidRDefault="002B6844" w:rsidP="002B684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6525F" w:rsidRPr="00C50525" w:rsidRDefault="00C6525F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0525">
        <w:rPr>
          <w:rFonts w:ascii="Times New Roman" w:hAnsi="Times New Roman"/>
          <w:b/>
          <w:sz w:val="24"/>
          <w:szCs w:val="24"/>
          <w:lang w:val="bg-BG"/>
        </w:rPr>
        <w:t>Гаранция за изпълнение на договора</w:t>
      </w:r>
    </w:p>
    <w:p w:rsidR="00B95FE6" w:rsidRDefault="00D503AB" w:rsidP="0062676D">
      <w:pPr>
        <w:shd w:val="clear" w:color="auto" w:fill="FFFFFF"/>
        <w:spacing w:before="60"/>
        <w:ind w:right="139"/>
        <w:jc w:val="both"/>
        <w:rPr>
          <w:bCs/>
          <w:lang w:val="bg-BG"/>
        </w:rPr>
      </w:pPr>
      <w:proofErr w:type="gramStart"/>
      <w:r w:rsidRPr="00C505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Гаранцията за изпълнение на Договора е в размер на </w:t>
      </w:r>
      <w:r w:rsidR="00B95FE6">
        <w:t>2</w:t>
      </w:r>
      <w:r w:rsidR="00B95FE6" w:rsidRPr="00296A36">
        <w:rPr>
          <w:bCs/>
        </w:rPr>
        <w:t xml:space="preserve"> % (</w:t>
      </w:r>
      <w:r w:rsidR="00B95FE6">
        <w:rPr>
          <w:bCs/>
        </w:rPr>
        <w:t xml:space="preserve">две </w:t>
      </w:r>
      <w:r w:rsidR="00B95FE6" w:rsidRPr="00296A36">
        <w:rPr>
          <w:bCs/>
        </w:rPr>
        <w:t>на сто) от стойността на договора по чл.</w:t>
      </w:r>
      <w:proofErr w:type="gramEnd"/>
      <w:r w:rsidR="00B95FE6" w:rsidRPr="00296A36">
        <w:rPr>
          <w:bCs/>
        </w:rPr>
        <w:t xml:space="preserve"> </w:t>
      </w:r>
      <w:proofErr w:type="gramStart"/>
      <w:r w:rsidR="00B95FE6" w:rsidRPr="00296A36">
        <w:rPr>
          <w:bCs/>
        </w:rPr>
        <w:t>5, ал.</w:t>
      </w:r>
      <w:proofErr w:type="gramEnd"/>
      <w:r w:rsidR="00B95FE6" w:rsidRPr="00296A36">
        <w:rPr>
          <w:bCs/>
        </w:rPr>
        <w:t xml:space="preserve"> </w:t>
      </w:r>
      <w:proofErr w:type="gramStart"/>
      <w:r w:rsidR="00B95FE6" w:rsidRPr="00296A36">
        <w:rPr>
          <w:bCs/>
        </w:rPr>
        <w:t>1</w:t>
      </w:r>
      <w:r w:rsidR="00B95FE6">
        <w:rPr>
          <w:bCs/>
          <w:lang w:val="bg-BG"/>
        </w:rPr>
        <w:t xml:space="preserve"> без ДДС</w:t>
      </w:r>
      <w:r w:rsidR="00B95FE6" w:rsidRPr="00296A36">
        <w:rPr>
          <w:bCs/>
        </w:rPr>
        <w:t>.</w:t>
      </w:r>
      <w:proofErr w:type="gramEnd"/>
    </w:p>
    <w:p w:rsidR="0062676D" w:rsidRPr="0062676D" w:rsidRDefault="0062676D" w:rsidP="0062676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val="bg-BG" w:eastAsia="bg-BG"/>
        </w:rPr>
      </w:pPr>
      <w:proofErr w:type="gramStart"/>
      <w:r>
        <w:rPr>
          <w:rFonts w:ascii="Times New Roman" w:eastAsia="Times New Roman" w:hAnsi="Times New Roman"/>
          <w:color w:val="000000"/>
          <w:lang w:eastAsia="bg-BG"/>
        </w:rPr>
        <w:t>Гаранцията  се</w:t>
      </w:r>
      <w:proofErr w:type="gramEnd"/>
      <w:r>
        <w:rPr>
          <w:rFonts w:ascii="Times New Roman" w:eastAsia="Times New Roman" w:hAnsi="Times New Roman"/>
          <w:color w:val="000000"/>
          <w:lang w:eastAsia="bg-BG"/>
        </w:rPr>
        <w:t xml:space="preserve"> представя под форма избрана от изпълнителя - парична сума или банкова гаранция или застраховка.</w:t>
      </w:r>
    </w:p>
    <w:p w:rsidR="00B95FE6" w:rsidRPr="009F094D" w:rsidRDefault="00B95FE6" w:rsidP="00B95FE6">
      <w:pPr>
        <w:shd w:val="clear" w:color="auto" w:fill="FFFFFF"/>
        <w:spacing w:before="60"/>
        <w:ind w:right="139"/>
        <w:jc w:val="both"/>
        <w:rPr>
          <w:rFonts w:ascii="Times New Roman" w:hAnsi="Times New Roman" w:cs="Times New Roman"/>
          <w:noProof/>
          <w:lang w:val="bg-BG"/>
        </w:rPr>
      </w:pPr>
      <w:r w:rsidRPr="009F094D">
        <w:rPr>
          <w:rFonts w:ascii="Times New Roman" w:hAnsi="Times New Roman" w:cs="Times New Roman"/>
          <w:lang w:val="ru-RU"/>
        </w:rPr>
        <w:t>Срокът на валидност на банковата гаранция,</w:t>
      </w:r>
      <w:r w:rsidRPr="009F094D">
        <w:rPr>
          <w:rFonts w:ascii="Times New Roman" w:hAnsi="Times New Roman" w:cs="Times New Roman"/>
          <w:noProof/>
        </w:rPr>
        <w:t xml:space="preserve"> </w:t>
      </w:r>
      <w:r w:rsidRPr="009F094D">
        <w:rPr>
          <w:rFonts w:ascii="Times New Roman" w:hAnsi="Times New Roman" w:cs="Times New Roman"/>
          <w:lang w:val="ru-RU"/>
        </w:rPr>
        <w:t xml:space="preserve">респ. застраховката, </w:t>
      </w:r>
      <w:r w:rsidRPr="009F094D">
        <w:rPr>
          <w:rFonts w:ascii="Times New Roman" w:hAnsi="Times New Roman" w:cs="Times New Roman"/>
          <w:i/>
          <w:noProof/>
        </w:rPr>
        <w:t>обезпечаваща срочно изпълнение на договора</w:t>
      </w:r>
      <w:r w:rsidRPr="009F094D">
        <w:rPr>
          <w:rFonts w:ascii="Times New Roman" w:hAnsi="Times New Roman" w:cs="Times New Roman"/>
          <w:lang w:val="ru-RU"/>
        </w:rPr>
        <w:t>, т</w:t>
      </w:r>
      <w:r w:rsidRPr="009F094D">
        <w:rPr>
          <w:rFonts w:ascii="Times New Roman" w:hAnsi="Times New Roman" w:cs="Times New Roman"/>
        </w:rPr>
        <w:t xml:space="preserve">рябва да е минимум 15 (петнадесет) дни, след </w:t>
      </w:r>
      <w:r w:rsidRPr="009F094D">
        <w:rPr>
          <w:rFonts w:ascii="Times New Roman" w:hAnsi="Times New Roman" w:cs="Times New Roman"/>
          <w:noProof/>
        </w:rPr>
        <w:t>изтичане срока за изпълнение на строително-монтажните работи.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 условия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изготвят на български език.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изтичането на срока за подаване на офертите всеки 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промени, да допълни или да оттегли офертата си.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Всеки участник в процедура за възлагане на обществена поръчка има право да представи само една оферта.</w:t>
      </w:r>
    </w:p>
    <w:p w:rsidR="0015009F" w:rsidRPr="00C50525" w:rsidRDefault="0015009F" w:rsidP="00095D59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15009F" w:rsidRPr="00C50525" w:rsidRDefault="0015009F" w:rsidP="00095D5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едно физическо или юридическо лице може да участва само в едно обединение.</w:t>
      </w:r>
    </w:p>
    <w:p w:rsidR="0015009F" w:rsidRPr="00C50525" w:rsidRDefault="0015009F" w:rsidP="00095D5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не могат да бъдат самостоятелни участници в една и съща процедура.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лица са тези по смисъла на §1, т. 13 и 14 от ДР на Закона за публичното предлагане на ценни книжа.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"Свързани лица" са: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лицата, едното от които контролира другото лице или негово дъщерно дружество: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лицата, чиято дейност се контролира от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лицата, които съвместно контролират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"Контрол" е налице, когато едно лице: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лице: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този вид услуга, съгласно законодателството ла държавата, в която то е установено.</w:t>
      </w:r>
    </w:p>
    <w:p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Клон на чуждестранно лице може да е самостоятелен участник в настоящата обществена поръчка,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15009F" w:rsidRPr="00C50525" w:rsidRDefault="0015009F" w:rsidP="00095D5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обществената поръчка може да участва всеки, който отговаря на условията, посочени в Закона за обществените поръчки (ЗОП). Правилника за прилагане на ЗОП (ППЗОП) и посочените в настоящата обява изисквания на възложителя.</w:t>
      </w:r>
    </w:p>
    <w:p w:rsidR="009632E7" w:rsidRPr="00C50525" w:rsidRDefault="009632E7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Участие на подизпълнители</w:t>
      </w:r>
      <w:r w:rsidR="00D2001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трети лица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доказателство за поетите о</w:t>
      </w:r>
      <w:r w:rsidR="006E360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подизпълнителите задължения. Подизпълнителите трябва да отговарят на съответните критерии за подбор съобразно вида и дела от поръчката, кой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ще изпълняват, и за тях да не са налице основания за отстраняване от процедурата.</w:t>
      </w:r>
    </w:p>
    <w:p w:rsidR="00D2001F" w:rsidRPr="00C50525" w:rsidRDefault="00D2001F" w:rsidP="00C505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Изпълнителите сключват договор за подизпълнение с подизпълнителите, посочени в офертата.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Възложителят изисква замяна на подизпълнител, който не отговаря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  някое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от  условията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поради промяна в обстоятелствата преди сключване на договора за обществена поръчка. </w:t>
      </w:r>
    </w:p>
    <w:p w:rsidR="00D2001F" w:rsidRPr="00C50525" w:rsidRDefault="00D2001F" w:rsidP="00C505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Подизпълнителите нямат право да превъзлагат една или повече от дейностите, които са включени в предмета на договора за подизпълнение. 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тези случаи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същото, изпълнителят предоставя становище, от което да е видно дали оспорва плащанията или част от тях като недължими.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му.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15009F" w:rsidRPr="00C50525" w:rsidRDefault="0015009F" w:rsidP="00095D59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новия подизпълнител не са налице основанията за отстраняване в процедурата;</w:t>
      </w:r>
    </w:p>
    <w:p w:rsidR="0015009F" w:rsidRPr="00C50525" w:rsidRDefault="0015009F" w:rsidP="00095D59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новият подизпълнител отговаря на критериите за подбор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дела и вида на дейностите, които ще изпълнява.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условията, че същия отговаря на съответните критерии за подбор съобразно вида и дела от поръчката, който ще изпълнява, и за него да не са налице основания за отстраняване от процедурата.</w:t>
      </w:r>
    </w:p>
    <w:p w:rsidR="00C50525" w:rsidRPr="00C50525" w:rsidRDefault="00C50525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D2001F" w:rsidRPr="00C50525" w:rsidRDefault="006B0AF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и </w:t>
      </w:r>
      <w:r w:rsidR="00D2001F" w:rsidRPr="00C50525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en-GB"/>
        </w:rPr>
        <w:t xml:space="preserve"> 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професионалните способности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По отношение на критериите, свързани с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професионална  компетентност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опит за изпълнение на поръчката, участниците могат да се позоват на капацитета на трети лица само ако  тези ще участват в изпълнението на частта от поръчката, за която е необходим този капацитет.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Третите лица трябва да отговарят на съответните критерии за подбор, за доказването на които кандидатът или участникът се позовава на техния капацитет и за тях да не са налице основанията за отстраняване от процедурата.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Възложителят изисква от участника да замени посоченото от него трето лице, ако то не отговаря на някое от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горните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условия, поради промяна в обстоятелства преди сключване на договора за обществена поръчка. 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ъзложителят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изисква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лица. т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й може да докаже изпълнението на критериите за подбор с капацитета на трети лица при спазване на условията на чл. 65 ал. 2 - 4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ЛИЧНО СЪСТОЯНИЕ НА УЧАСТНИЦИТЕ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участниците не следва да са налице основанията по чл. 54. ал. 1, т. 1 -</w:t>
      </w:r>
      <w:r w:rsidR="00D6549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 и 7 от ЗОП.</w:t>
      </w:r>
    </w:p>
    <w:p w:rsidR="00C75CAF" w:rsidRPr="00C75CAF" w:rsidRDefault="00C75CAF" w:rsidP="00C75C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r w:rsidRPr="00C75CAF">
        <w:rPr>
          <w:rFonts w:ascii="Times New Roman" w:hAnsi="Times New Roman" w:cs="Times New Roman"/>
          <w:sz w:val="24"/>
          <w:szCs w:val="24"/>
        </w:rPr>
        <w:t>ал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C75CAF">
        <w:rPr>
          <w:rFonts w:ascii="Times New Roman" w:hAnsi="Times New Roman" w:cs="Times New Roman"/>
          <w:sz w:val="24"/>
          <w:szCs w:val="24"/>
        </w:rPr>
        <w:t>се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за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лицата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които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участника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или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кандидата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за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членовете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неговите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управителни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надзорни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органи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който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вписан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или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ако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има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такъв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или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му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CAF">
        <w:rPr>
          <w:rFonts w:ascii="Times New Roman" w:hAnsi="Times New Roman" w:cs="Times New Roman"/>
          <w:sz w:val="24"/>
          <w:szCs w:val="24"/>
        </w:rPr>
        <w:t>Когато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тези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органи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участва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лице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се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за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физическите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лица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които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го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който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вписано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юридическото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лице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ако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има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такъв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или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му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CAF" w:rsidRDefault="00C75CA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случаите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r w:rsidRPr="00C75CAF">
        <w:rPr>
          <w:rFonts w:ascii="Times New Roman" w:hAnsi="Times New Roman" w:cs="Times New Roman"/>
          <w:sz w:val="24"/>
          <w:szCs w:val="24"/>
        </w:rPr>
        <w:t>ал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когато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или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или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лице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негов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контролен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или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управителен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орган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се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представлява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от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лице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пълномощие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по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ал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C75CAF">
        <w:rPr>
          <w:rFonts w:ascii="Times New Roman" w:hAnsi="Times New Roman" w:cs="Times New Roman"/>
          <w:sz w:val="24"/>
          <w:szCs w:val="24"/>
        </w:rPr>
        <w:t>се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за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това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лице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09F" w:rsidRPr="00C75CAF" w:rsidRDefault="0015009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задължително отстранява от участие в обществената поръчк</w:t>
      </w:r>
      <w:r w:rsidR="00C15B84"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участник,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когато: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1. е осъден с влязла в сила присъда, освен ако е реабилитиран, за престъпление по чл. 108а. чл. 159а - 159г, чл. 172, чл. 192а. чл. 194 - 217, чл. 219 - 252. чл. 253 - 260. чл. 301 - 307, чл. 321, 321а и чл. 352 - 353е от Наказателния кодекс;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има задължения за данъци и задължителни осигурителни вноски по смисъла на чл. 162. ал. 2.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опуснато разсрочване, отсрочване или обезпечение на задълженията или задължението е по акт. който не е влязъл в сила: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е налице неравнопоставеност в случаите по чл. 44, ал. 5 от ЗОП;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5. е установено, че: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7. е налице конфликт на интереси, който не може да бъде отстранен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 за незадължително отстраняване</w:t>
      </w:r>
    </w:p>
    <w:p w:rsidR="0015009F" w:rsidRPr="00C50525" w:rsidRDefault="0015009F" w:rsidP="00C505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525">
        <w:rPr>
          <w:rFonts w:ascii="Times New Roman" w:hAnsi="Times New Roman" w:cs="Times New Roman"/>
          <w:sz w:val="24"/>
          <w:szCs w:val="24"/>
        </w:rPr>
        <w:t>Възложителят отстран</w:t>
      </w:r>
      <w:r w:rsidR="00D65497" w:rsidRPr="00C50525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Pr="00C50525">
        <w:rPr>
          <w:rFonts w:ascii="Times New Roman" w:hAnsi="Times New Roman" w:cs="Times New Roman"/>
          <w:sz w:val="24"/>
          <w:szCs w:val="24"/>
        </w:rPr>
        <w:t xml:space="preserve"> от участие в процедурата за възлагане на обществена поръчка участник, за когото е налице някое от следните обстоятелства: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- се намира в подобно положение, произтичащо от сходна процедура, съгласно законодателството в държавата, в която е установен;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2.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лишен от правото да упражнява професия и/или дейност свързана с предмета на настоящата поръчка, съгласно законодателството на държавата, в която е извършено нарушението;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4.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доказано е, че е виновен за неизпълнение на договор за обществена поръчка,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опитал е да: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а)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б)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получи информация, която може да му даде неоснователно предимство в процедурата за възлагане на обществена поръчка;</w:t>
      </w:r>
    </w:p>
    <w:p w:rsidR="0015009F" w:rsidRPr="00C50525" w:rsidRDefault="0015009F" w:rsidP="00C505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Изискванията на чл. 54, ал. 1 т. 1-5 и 7, и чл. 55, ал. 1, т. 5 от Закона за обществените поръчки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на отстраняване по чл. 54, ал.1. т. 1-5 и 7 от ЗОП възложителят трябва да осигури доказателства за наличие на основания за отстраняване.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Изискванията за личното състояние се отнасят и за подизпълнителите</w:t>
      </w:r>
      <w:r w:rsidR="00D65497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и/или третите лица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65497" w:rsidRPr="00C50525" w:rsidRDefault="00D6549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t>Не се допуска до участие в процедурата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отстранява участник, за когото намира приложение хипотезата на чл. 3, т. 8 от Закона за икономическите и финансовите отношения с дружествата, регистрирани в юрисдикции с преференциал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ен данъчен режим, свързаните с тя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 лица и техните действителни собственици, освен ако не е приложима разпоредбата по чл.4 от същия закон.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ще отстранява от участие в процедура за възлагане на обществена поръчка участник, за когото се установи, че е регистриран в юрисдикция с преференциален данъчен режим. Възложителят отстранява от участие в процедура за възлагане на обществена поръчка и участници за които се установи, че са свързани лица с дружества, регистрирани в юрисдикция с преференциален данъчен режим. </w:t>
      </w:r>
    </w:p>
    <w:p w:rsidR="00D65497" w:rsidRPr="00C50525" w:rsidRDefault="00C15B84" w:rsidP="00C91B6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</w:p>
    <w:p w:rsidR="00C15B84" w:rsidRPr="00C50525" w:rsidRDefault="00C15B84" w:rsidP="00C91B6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  <w:r w:rsidR="00262074" w:rsidRPr="00C5052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Възложителят ще отстранява от участие</w:t>
      </w:r>
      <w:r w:rsidR="00262074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участник, за когото се установи, че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основание чл. 69 от Закона за противодействие на корупцията и за отнемане на незаконно придобитото имущество (ЗПКОНПИ), 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е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</w:t>
      </w:r>
    </w:p>
    <w:p w:rsidR="00C15B84" w:rsidRPr="00C50525" w:rsidRDefault="00C15B84" w:rsidP="00C91B62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Мерки за доказване на надеждност</w:t>
      </w:r>
      <w:r w:rsidR="00353D76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съгласно чл. 56 от ЗОП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Мотивите за приемане или отхвърляне на предприетите но чл.56, ал. 1 от ЗОП мерки и представените доказателства се посочват в протокола на комисията или в съобщението </w:t>
      </w:r>
      <w:r w:rsidR="00F5346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прекратяване на обществената поръчка, в зависимост от вида и етапа, на който се намира.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 Информацията по тази точка се отнася и за подизпълнителите и третите лица.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6812" w:rsidRPr="00C50525" w:rsidRDefault="0015009F" w:rsidP="00C505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39289F" w:rsidRPr="00C50525" w:rsidRDefault="003928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подбор</w:t>
      </w:r>
    </w:p>
    <w:p w:rsidR="0015009F" w:rsidRPr="00C50525" w:rsidRDefault="005A57D4" w:rsidP="00095D5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Годност (правоспособност) за упражняване на професионална дейност:</w:t>
      </w:r>
    </w:p>
    <w:p w:rsidR="000A789A" w:rsidRPr="00BB0501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1.Участникът следва да е вписан </w:t>
      </w: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Централния професионален регистър на строителя, съгласно Закона за камарата на строителите за изпълнение на строежи със следния обхват: строителни дейности по 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обекти  </w:t>
      </w:r>
      <w:r w:rsidR="00BD2D33" w:rsidRPr="00B95F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група, </w:t>
      </w:r>
      <w:r w:rsidR="00BD2D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</w:t>
      </w: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категория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</w:t>
      </w: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по-висока, съгласно Наредба № 1 от 30.07.2003 г. за номенклатурата на видовете строежи и чл. 137 от ЗУТ. </w:t>
      </w:r>
    </w:p>
    <w:p w:rsidR="000A789A" w:rsidRPr="00BB0501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чл. 60 от ЗОП чуждестранните участници могат да докажат регистрацията си в аналогични регистри съгласно законодателството на държавата членка, в която са установени. </w:t>
      </w:r>
    </w:p>
    <w:p w:rsidR="000A789A" w:rsidRPr="00BB0501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 на обединение, което не е юридическо лице, изискването за регистрация се доказва от всеки участник в обединението, който ще извършва строителство съобразно разпределението на участието на лицата при изпълнение на дейностите, предвидено в договора за създаване на обединение. </w:t>
      </w:r>
    </w:p>
    <w:p w:rsidR="000A789A" w:rsidRPr="00BB0501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5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 на подизпълнители, същите следва да отговарят на горепосоченото изискване съобразно вида и дела от поръчката, който ще изпълняват. </w:t>
      </w:r>
    </w:p>
    <w:p w:rsidR="000A789A" w:rsidRPr="00C50525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 подаване на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обстоятелството се удостоверява в Декларация (съгласно чл. 96а, ал. 2 от ППЗОП), като се попълва информация относно вписването на участника в съответния професионален регистър в държавата членка, в която е установен, и се посочва дали съответният документ е на разположение в електронен формат, както и уеб адрес, орган или служба, издаващ/а документа за регистрация и точно позоваване на документа. За чуждестранно лице участникът посочва еквивалентен документ, доказващ регистрация/членство в аналогична професионална организация на държавата, в която е установен, даваща/о право за извършване на </w:t>
      </w:r>
      <w:r w:rsidR="000A7E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съответното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строителство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A789A" w:rsidRPr="00C50525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789A" w:rsidRPr="008335F6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3E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Преди сключване на договор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обществена поръчка, възложителят изисква от участника, определен за изпълнител, валидно Удостоверение от Камарата на строителите в България за наличието на  регистрация в Централния професионален регистър на строителя за изпълнение на СМР за строежи </w:t>
      </w:r>
      <w:r w:rsidR="00B95FE6" w:rsidRPr="00B95F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B95FE6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група, </w:t>
      </w:r>
      <w:r w:rsidR="00B95F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</w:t>
      </w:r>
      <w:r w:rsidR="00B95FE6" w:rsidRPr="0083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категория</w:t>
      </w:r>
      <w:r w:rsidR="00B95FE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95FE6"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>категория или еквивалентен документ издаден от  компетентен орган в държава - членка на Европейския съюз, или в друга държава - страна по Споразумението за Европейското икономическо пространство. Удостоверението за регистрация в Централния професионален регистър на строителя по чл. 33, ал.1 от Правилника за реда за вписване и водене на Централния професионален регистър на строителя следва да бъде придружено с валиден контролен талон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8335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съгласно чл.34, ал.1 от Правилника.</w:t>
      </w:r>
    </w:p>
    <w:p w:rsidR="00260855" w:rsidRPr="00C50525" w:rsidRDefault="00260855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3EFD" w:rsidRPr="00833EFD" w:rsidRDefault="00833EFD" w:rsidP="00833EF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sz w:val="24"/>
          <w:szCs w:val="24"/>
          <w:lang w:val="bg-BG"/>
        </w:rPr>
        <w:t>Икономическо и финансово състояние</w:t>
      </w:r>
    </w:p>
    <w:p w:rsidR="00833EFD" w:rsidRPr="00833EFD" w:rsidRDefault="00833EFD" w:rsidP="00833EFD">
      <w:pPr>
        <w:tabs>
          <w:tab w:val="left" w:pos="992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Участникът следва да има застраховка „Професионална отговорност“, съгласно чл.171, ал.1 от ЗУТ. Минималната застрахователна сума е съгласно </w:t>
      </w:r>
      <w:r w:rsidRPr="007F3139">
        <w:rPr>
          <w:rFonts w:ascii="Times New Roman" w:hAnsi="Times New Roman" w:cs="Times New Roman"/>
          <w:bCs/>
          <w:sz w:val="24"/>
          <w:szCs w:val="24"/>
          <w:lang w:val="bg-BG"/>
        </w:rPr>
        <w:t>чл.5, ал.2, т</w:t>
      </w:r>
      <w:r w:rsidRPr="007F313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833E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Наредба за условията и реда за задължително застраховане в проектирането и строителството. Застраховката следва да покрива вреди, причинени на други участници в </w:t>
      </w:r>
      <w:r w:rsidR="002732C1">
        <w:rPr>
          <w:rFonts w:ascii="Times New Roman" w:hAnsi="Times New Roman" w:cs="Times New Roman"/>
          <w:bCs/>
          <w:sz w:val="24"/>
          <w:szCs w:val="24"/>
          <w:lang w:val="bg-BG"/>
        </w:rPr>
        <w:t>строителството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и/или на трети лица, вследствие на неправомерни действия или бездействия при или по повод изпълнение на задълженията им. Изискването за застраховка за професионална отговорност на лицата по чл.171, ал. 1 не се прилага за лице от държава - членка на Европейския съюз, или от друга държава - страна по Споразумението за Европейското икономическо пространство,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- членка на Европейския съюз, или в страна по Споразумението за Европейското икономическо пространство. </w:t>
      </w:r>
    </w:p>
    <w:p w:rsidR="00833EFD" w:rsidRPr="00833EFD" w:rsidRDefault="00833EFD" w:rsidP="00833EFD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Минимално изискване:</w:t>
      </w:r>
    </w:p>
    <w:p w:rsidR="00833EFD" w:rsidRPr="00833EFD" w:rsidRDefault="00833EFD" w:rsidP="00833EFD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Участникът следва да има застраховка „Професионална отговорност“, съгласно чл.171, ал.1 от ЗУТ. Минималната застрахователна сума/застрахователното покритие да съответства за обекти </w:t>
      </w:r>
      <w:r w:rsidR="00817CF1" w:rsidRPr="00817CF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17CF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категория</w:t>
      </w:r>
      <w:r w:rsidR="002732C1" w:rsidRPr="00817CF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817CF1" w:rsidRPr="00817CF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817CF1" w:rsidRPr="00817CF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732C1" w:rsidRPr="00817CF1">
        <w:rPr>
          <w:rFonts w:ascii="Times New Roman" w:hAnsi="Times New Roman" w:cs="Times New Roman"/>
          <w:bCs/>
          <w:sz w:val="24"/>
          <w:szCs w:val="24"/>
          <w:lang w:val="bg-BG"/>
        </w:rPr>
        <w:t>група</w:t>
      </w:r>
      <w:r w:rsidRPr="00817CF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833EFD" w:rsidRPr="00833EFD" w:rsidRDefault="00833EFD" w:rsidP="00833E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 подаване на офертата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обстоятелството се удостоверява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192, ал. 3 от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като участникът попълва информация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притежаваната застраховка „Професионална отговорност“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/номер на полицата, застраховател, стойност, категория обекти/  </w:t>
      </w:r>
    </w:p>
    <w:p w:rsidR="00833EFD" w:rsidRPr="00833EFD" w:rsidRDefault="00833EFD" w:rsidP="00833E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Преди сключване на договора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участникът определен за изпълнител представя копие на  </w:t>
      </w:r>
      <w:r w:rsidRPr="00833EFD">
        <w:rPr>
          <w:rFonts w:ascii="Times New Roman" w:hAnsi="Times New Roman" w:cs="Times New Roman"/>
          <w:bCs/>
          <w:sz w:val="24"/>
          <w:szCs w:val="24"/>
        </w:rPr>
        <w:t>валидна полица за застраховка „Професионална отговорност“, съгласно чл.171, ал.1 от ЗУТ, както и документ, че същата е платена изцяло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260855" w:rsidRPr="00C50525" w:rsidRDefault="00260855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:rsidR="008A6AF8" w:rsidRPr="00C50525" w:rsidRDefault="00833EFD" w:rsidP="00833E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Минимални изисквания към техническите и професионални способности </w:t>
      </w:r>
      <w:r w:rsidR="00817CF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 </w:t>
      </w:r>
      <w:r w:rsidR="0015009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63 ал. 1 от ЗОП</w:t>
      </w:r>
    </w:p>
    <w:p w:rsidR="000A789A" w:rsidRPr="000A789A" w:rsidRDefault="00833EFD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.1.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bg-BG"/>
        </w:rPr>
        <w:t>1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bg-BG"/>
        </w:rPr>
        <w:t xml:space="preserve"> </w:t>
      </w:r>
      <w:r w:rsidR="000A789A"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През предходните 3 (три) години, считано от датата на подаване на офертата е изпълнил поне 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една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) 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услуга </w:t>
      </w:r>
      <w:r w:rsidR="000A789A"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 изготвяне на технически и/или работни проекти за изграждане/ново стрителство и/или реконструкция и/или ремонт на детски площадки и/или площадки за игра и/или спортни площадки и/или </w:t>
      </w:r>
      <w:r w:rsidR="000A789A"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спортни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0A789A"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съоръжения</w:t>
      </w:r>
      <w:r w:rsidR="000A789A"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(на открито или закрито)</w:t>
      </w:r>
      <w:r w:rsidR="000A789A"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gramStart"/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както</w:t>
      </w:r>
      <w:proofErr w:type="gramEnd"/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gramStart"/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bg-BG"/>
        </w:rPr>
        <w:t>2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)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През предходните 5 (пет) години, считано от датата на подаване на офертата е изпълнил поне 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(една) строителн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а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дейност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за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изграждане/ново стрителство и/или реконструкция и/или ремонт на детски площадки и/или площадки за игра и/или спортни площадки и/или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спортни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съоръжения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(на открито или закрито)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вкл.</w:t>
      </w:r>
      <w:proofErr w:type="gramEnd"/>
      <w:r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доставка и монтаж на съоръжения за игра и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съоръжения за тяхното обслужване,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ИЛИ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Б)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През предходните 5 (пет) години, считано от датата на подаване на офертата е изпълнил поне 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 (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една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) 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дейност на пълен инженеринг -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проектиране в техническа и/или работна фаза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и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изпълнение на строителни дейности за изграждане/ново стрителство и/или реконструкция и/или ремонт на детски площадки и/или площадки за игра и/или спортни площадки и/или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спортни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съоръжения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(на открито или закрито)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, вкл.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доставка и монтаж на съоръжения за игра и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съоръжения за тяхното обслужване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!!! </w:t>
      </w:r>
      <w:r w:rsidRPr="000A78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Пояснения</w:t>
      </w:r>
      <w:r w:rsidRPr="000A78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: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(1) 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Услугите по проектиране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ще се считат за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„изпълнени“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когато са </w:t>
      </w:r>
      <w:r w:rsidRPr="000A78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Pr="000A78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приключили и резултатите от тях (готовите проектни разработки) са приети без забележки до датата на подаване на офертата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(има документ, удостоверяващ приетото изпълнение, издаден от получателя на услугата или от компетентен орган)</w:t>
      </w:r>
      <w:r w:rsidRPr="000A78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, независимо от датата на възлагането им.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2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Строителството се счита за изпълнено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когато за завършения строеж е съставен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онстативен акт 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или протокол </w:t>
      </w:r>
      <w:r w:rsidRPr="000A78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установяване на годността за приемане на строежа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или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друг документ за предаване и приемане на строежа от Възложителя.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3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 Минималните изисквания могат да бъдат доказани с изпълнението на едно, две или няколко възлагания.</w:t>
      </w:r>
    </w:p>
    <w:p w:rsidR="000A789A" w:rsidRDefault="000A789A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</w:p>
    <w:p w:rsidR="008251E2" w:rsidRPr="008251E2" w:rsidRDefault="008A6AF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proofErr w:type="gramStart"/>
      <w:r w:rsidRPr="008335F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 подаване на офертата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обстоятелството се удостоверява </w:t>
      </w:r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Декларация по чл.</w:t>
      </w:r>
      <w:proofErr w:type="gramEnd"/>
      <w:r w:rsidR="004234C4"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ал. 3 от </w:t>
      </w:r>
      <w:proofErr w:type="gramStart"/>
      <w:r w:rsidR="004234C4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като участникът попълва информация за извършен</w:t>
      </w:r>
      <w:r w:rsidR="008335F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ото</w:t>
      </w:r>
      <w:r w:rsidR="008251E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през референтния период</w:t>
      </w:r>
      <w:r w:rsidR="008251E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:</w:t>
      </w:r>
    </w:p>
    <w:p w:rsidR="008A6AF8" w:rsidRDefault="008251E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proofErr w:type="gramStart"/>
      <w:r w:rsidRPr="008251E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- </w:t>
      </w:r>
      <w:r w:rsidRPr="00825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проектантски услуги</w:t>
      </w:r>
      <w:r w:rsidRPr="008251E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, като за всяка, посочена като изпълнена от него услуга предостави данни и </w:t>
      </w:r>
      <w:r w:rsidRPr="008251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информация относно:</w:t>
      </w:r>
      <w:r w:rsidRPr="008251E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825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(1) конкретните дейности, които са изпълнени и са идентични или сходни с предмета на възлагане и конкретните, предоставени от </w:t>
      </w:r>
      <w:r w:rsidRPr="00825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Участника </w:t>
      </w:r>
      <w:r w:rsidRPr="00825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услуги; (2) лицето, получило услугата/проектната разработка (Възложител); (3) стойност на изпълнените дейности; (4) датата, на която е приключило изпълнението</w:t>
      </w:r>
      <w:r w:rsidR="008A6AF8"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proofErr w:type="gramEnd"/>
    </w:p>
    <w:p w:rsidR="008251E2" w:rsidRPr="008251E2" w:rsidRDefault="008251E2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8251E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и</w:t>
      </w:r>
    </w:p>
    <w:p w:rsidR="008251E2" w:rsidRPr="008251E2" w:rsidRDefault="008251E2" w:rsidP="008251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proofErr w:type="gramStart"/>
      <w:r w:rsidRPr="008251E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- </w:t>
      </w:r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за изпълнено строителство и/или изпълнени инженерингови дейности</w:t>
      </w:r>
      <w:r w:rsidRPr="008251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като за всяка, посочена като изпълнена от него строителна/инженерингова дейност предостави данни и </w:t>
      </w:r>
      <w:r w:rsidRPr="008251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информация относно: </w:t>
      </w:r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(1) строителните работи, които са изпълнени и са идентични или сходни с предмета на поръчката/съответната обособена позиция, чрез посочване на </w:t>
      </w:r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обекта на строителство</w:t>
      </w:r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и </w:t>
      </w:r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вида на изпълнените строителни интервенции</w:t>
      </w:r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;</w:t>
      </w:r>
      <w:proofErr w:type="gramEnd"/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(2) </w:t>
      </w:r>
      <w:proofErr w:type="gramStart"/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лицето</w:t>
      </w:r>
      <w:proofErr w:type="gramEnd"/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, получило резултата от строителните дейности (Възложител/Инвеститор); (3) стойност на изпълнените строителни работи; (4) датата, на която е приключило изпълнението на строителните дейности </w:t>
      </w:r>
      <w:r w:rsidRPr="008251E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(датата, на която е съставен </w:t>
      </w:r>
      <w:r w:rsidRPr="008251E2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съответния документ, удостоверяващ приемането на готовия обект</w:t>
      </w:r>
      <w:r w:rsidRPr="008251E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, </w:t>
      </w:r>
      <w:r w:rsidRPr="008251E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bg-BG"/>
        </w:rPr>
        <w:t>с индивидуализиране на конкретния акт</w:t>
      </w:r>
      <w:r w:rsidRPr="008251E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).</w:t>
      </w:r>
      <w:r w:rsidRPr="008251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8251E2" w:rsidRPr="008251E2" w:rsidRDefault="004C64C7" w:rsidP="008251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35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 подписване на договора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определеният изпълнител представя </w:t>
      </w:r>
      <w:r w:rsidR="008251E2" w:rsidRPr="008251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(1)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Списък на услугите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идентични или сходни с предмета на поръчката, изпълнени през последните 3 години, считано от датата на подаване на офертите, съдържащ посочване на стойностите, датите и получателите; </w:t>
      </w:r>
      <w:r w:rsidR="008251E2" w:rsidRPr="008251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(2)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Доказателства за всяка извършена услуга, посочена в Списъка по предходната точка </w:t>
      </w:r>
      <w:r w:rsidR="008251E2" w:rsidRPr="008251E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и/или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="008251E2" w:rsidRPr="008251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(3)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Списък на 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строителството/инженеринговите дейности, идентични или сходни с предмета на поръчката, изпълнени през последните 5 години, считано от датата на подаване на офертите; </w:t>
      </w:r>
      <w:r w:rsidR="008251E2" w:rsidRPr="008251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(4)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Удостоверения за добро изпълнение за всяко съответно строителство/инженерингова дейност, вписани в Списъка по предходната точка, съдържащи посочване на стойността, датата, на която е приключило изпълнението, мястото, вида и обема 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с</w:t>
      </w:r>
      <w:r w:rsidR="008251E2" w:rsidRPr="008251E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троителството/изпълнените инженерингови дейности, както и дали е изпълнено в съответствие с нормативните изисквания.</w:t>
      </w:r>
    </w:p>
    <w:p w:rsidR="005A57D4" w:rsidRPr="00C50525" w:rsidRDefault="005A57D4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789A" w:rsidRPr="000A789A" w:rsidRDefault="00833EFD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5A57D4"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.2.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bg-BG"/>
        </w:rPr>
        <w:t>Екип за изготвяне на техническите проекти и за осъществяване на авторския надзор</w:t>
      </w:r>
      <w:r w:rsidR="000A789A"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: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3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.2.1. П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роектант по част „Конструктивна”</w:t>
      </w:r>
      <w:r w:rsidRPr="000A78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който да отговаря на следните минимални изисквания: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а) има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призната образователно-квалификационна степен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„бакалавър” или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„магистър” със специалност „Промишлено и гражданско строителство“ (ПГС), или „Строителство на сгради и съоръжения“ (ССС), или еквивалентна (включително и за чуждестранни експерти и/или експерти с придобита </w:t>
      </w:r>
      <w:proofErr w:type="gramStart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чужбина специалност);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притежава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валидно за 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Удостоверение за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пълна проектантска правоспособност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</w:t>
      </w:r>
      <w:proofErr w:type="gramStart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230 от ЗУТ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при условията на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Закона за Камарите на архитектите и инженерите в инвестиционното проектиране (ЗКАИИП), или еквивалент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 документ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3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.2.2. Проектант </w:t>
      </w:r>
      <w:proofErr w:type="gramStart"/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по</w:t>
      </w:r>
      <w:proofErr w:type="gramEnd"/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част „Геодезия“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който да отговаря на следните минимални изисквания: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а) има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призната образователно-квалификационна степен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„бакалавър” или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„магистър” със специалност „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Геодезия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или еквивалентна (за чуждестранни експерти и/или експерти с придобита </w:t>
      </w:r>
      <w:proofErr w:type="gramStart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чужбина специалност);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притежава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валидно за 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Удостоверение за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пълна проектантска правоспособност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</w:t>
      </w:r>
      <w:proofErr w:type="gramStart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230 от ЗУТ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при условията на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Закона за Камарите на архитектите и инженерите в инвестиционното проектиране (ЗКАИИП), или еквивалент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 документ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3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.2.3.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gramStart"/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Проектант по част „Паркоустройство и благоустройство“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който да отговаря на следните минимални изисквания:</w:t>
      </w:r>
      <w:proofErr w:type="gramEnd"/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има призната образователно-квалификационна степен „магистър”, с придобита специалност „Архитектура”, „Ландшафтна архитектура“,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„Урбанизъм“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еквивалентна (включително и за чуждестранни експерти и/или експерти с придобита в чужбина специалност);</w:t>
      </w:r>
    </w:p>
    <w:p w:rsid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притежава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валидно за 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Удостоверение за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пълна проектантска правоспособност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</w:t>
      </w:r>
      <w:proofErr w:type="gramStart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230 от ЗУТ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при условията на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Закона за Камарите на архитектите и инженерите в инвестиционното проектиране (ЗКАИИП), или еквивалент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 документ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3.2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.4.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Участникът следва да докаже, че има на свое разположение за целия срок на изпълнение на поръчката 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bg-BG"/>
        </w:rPr>
        <w:t>и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следните експерти – проектанти, притежаващи валидно за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9</w:t>
      </w:r>
      <w:r w:rsidRPr="000A789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г. Удостоверение  за пълна проектантска правоспособност,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съгласно чл. 230 от ЗУТ, при условията на 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Камарите на архитектите и инженерите в инвестиционното проектиране (ЗКАИИП), или еквивалентен документ, като същите следва да изработят съответните части на</w:t>
      </w:r>
      <w:proofErr w:type="gramEnd"/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7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отделните проекти</w:t>
      </w:r>
      <w:r w:rsidRPr="000A789A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а) Проектант по част „План за </w:t>
      </w:r>
      <w:proofErr w:type="gramStart"/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безопасност и</w:t>
      </w:r>
      <w:proofErr w:type="gramEnd"/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здраве“;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б) Проектант </w:t>
      </w:r>
      <w:proofErr w:type="gramStart"/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</w:t>
      </w:r>
      <w:proofErr w:type="gramEnd"/>
      <w:r w:rsidRPr="000A789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част „Сметна документация“</w:t>
      </w:r>
      <w:r w:rsidRPr="000A78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0A789A" w:rsidRPr="000A789A" w:rsidRDefault="000A789A" w:rsidP="000A78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3EFD" w:rsidRDefault="000A789A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5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33EFD" w:rsidRPr="00833E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трябва да разполага с необходимия брой технически лица и/или организации, включени или не в структурата му, които ще изпълняват строителството,  включително такива, които отговарят за контрола на качеството</w:t>
      </w:r>
      <w:r w:rsidR="00833E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Технически ръководител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имат квалификация и да отговарят на изискванията за образователен ценз, съгласно чл. 163а, ал.2 и ал.3 от ЗУТ или еквивалентна, с професионален опит като технически ръководител на поне едно строителство с идентичен или сходен, с тези на поръчката </w:t>
      </w:r>
    </w:p>
    <w:p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Контрол по качеството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да притежава Удостоверение за преминато обучение за контрол върху качеството на изпълнение на строителството, за съответствие на влаганите в строежите строителни продукти със съществените изисквания за безопасност или еквивалент, с професионален опит като експерт „Контрол по качеството“ на поне едно строителство с идентичен или сходен, с тези на поръчката.</w:t>
      </w:r>
    </w:p>
    <w:p w:rsidR="00833EFD" w:rsidRPr="00833EFD" w:rsidRDefault="00833EFD" w:rsidP="00833EF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33EFD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Експерт по безопасност и здраве в строителството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Да притежава удостоверение за „Експерт за безопасност и здраве” съгласно Наредба № РД-07- 2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33EFD">
        <w:rPr>
          <w:rFonts w:ascii="Times New Roman" w:hAnsi="Times New Roman" w:cs="Times New Roman"/>
          <w:bCs/>
          <w:sz w:val="24"/>
          <w:szCs w:val="24"/>
          <w:lang w:val="bg-BG"/>
        </w:rPr>
        <w:t>с професионален опит като експерт „БЗС“ на поне едно строителство с идентичен или сходен, с тези на поръчката.</w:t>
      </w:r>
    </w:p>
    <w:p w:rsidR="00A25BBB" w:rsidRPr="00C50525" w:rsidRDefault="00417D88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proofErr w:type="gramStart"/>
      <w:r w:rsidRPr="00833EF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 подаване на офертата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обстоятелството се удостоверява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Декларация по чл.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192, ал. 3 от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като участникът попълва информация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експертите</w:t>
      </w:r>
      <w:r w:rsidR="00A6068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и професионалната им компетентност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3E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 подписване на договора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определеният изпълнител представя Списък на персонала, който ще изпълнява поръчката, както и документи, които доказват професионалната компетентност на лицата.</w:t>
      </w:r>
    </w:p>
    <w:p w:rsidR="00417D88" w:rsidRPr="00C50525" w:rsidRDefault="00417D88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57D4" w:rsidRPr="00C50525" w:rsidRDefault="005A57D4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участие на обединения, които не са юридически лица, съответствието с горепосочените критерии за подбор се доказва от обединението участник, а не от всяко от лицата, включени в него, с изключение на съответната регистрация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833EFD" w:rsidRPr="00833EFD" w:rsidRDefault="00833EFD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3.</w:t>
      </w:r>
      <w:r w:rsidR="00BC145E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. </w:t>
      </w: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Валидни сертификати, издадени от акредитирани институции. </w:t>
      </w:r>
    </w:p>
    <w:p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  <w:t>Минимално изискване:</w:t>
      </w:r>
    </w:p>
    <w:p w:rsidR="00833EFD" w:rsidRPr="00833EFD" w:rsidRDefault="00833EFD" w:rsidP="00833EF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>Участникът следва да разполага с внедрени системи за управление или еквивалентни/еквивалент, удостоверяващ съответствието на участника със стандартни системи за управление на качеството или други доказателства за еквивалентни мерки за осигуряване на качеството, с обхват в областта на строителството и/или строително-ремонтните работи, сходни с предмета на поръчката/, както следва:</w:t>
      </w:r>
    </w:p>
    <w:p w:rsidR="00833EFD" w:rsidRPr="00833EFD" w:rsidRDefault="00833EFD" w:rsidP="00095D5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>Внедрена система за управление на качеството EN ISO 9001:2008 или еквивалентна;</w:t>
      </w:r>
    </w:p>
    <w:p w:rsidR="00833EFD" w:rsidRPr="00833EFD" w:rsidRDefault="00833EFD" w:rsidP="00095D5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>Внедрена система за управление на околната среда EN ISO 14001:2004 или еквивалентна;</w:t>
      </w:r>
    </w:p>
    <w:p w:rsidR="00833EFD" w:rsidRPr="00833EFD" w:rsidRDefault="00833EFD" w:rsidP="00833EFD">
      <w:pPr>
        <w:spacing w:line="360" w:lineRule="auto"/>
        <w:ind w:firstLine="57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При подаване на оферта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обстоятелството се удостоверява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192, ал. 3 от 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като участникът попълва информация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сертификатите</w:t>
      </w:r>
    </w:p>
    <w:p w:rsidR="00833EFD" w:rsidRPr="00833EFD" w:rsidRDefault="00833EFD" w:rsidP="00833EFD">
      <w:pPr>
        <w:spacing w:after="0" w:line="360" w:lineRule="auto"/>
        <w:ind w:firstLine="57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Преди сключване на договор </w:t>
      </w: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>за обществена поръчка, възложителят изисква от участника, определен за изпълнител, валиден Сертификат за внедрена система за управление на качеството EN ISO 9001:2008 или еквивалентен /еквивалент, удостоверяващ съответствието на участника със стандартни системи за управление на качеството или други доказателства за еквивалентни мерки за осигуряване на качеството, с обхват в областта на строителството и/или строително-ремонтните работи, сходни с предмета на поръчката/, издаден от орган, установен в друга държава членка на Европейския съюз, или в друга държава - страна по Споразумението за Европейското икономическо пространство. Сертификатът задължително следва да се представи в превод на български език, а сертифициращият орган да отговаря на изискването на чл. 64, ал. 5 от ЗОП.</w:t>
      </w:r>
    </w:p>
    <w:p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Преди сключване на договор </w:t>
      </w:r>
      <w:r w:rsidRPr="00833EF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 обществена поръчка, възложителят изисква от участника, определен за изпълнител, валиден Сертификат за внедрена система за управление на околната среда EN ISO 14001:2004 или еквивалентен, издаден от орган, установен в друга държава членка на Европейския съюз, или в друга държава - страна по Споразумението за Европейското икономическо пространство.  Сертификатът задължително следва да се представи в превод на български език, а сертифициращият орган да отговаря на изискването на чл. 64, ал. 5 от ЗОП. </w:t>
      </w:r>
    </w:p>
    <w:p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833EFD" w:rsidRPr="00833EFD" w:rsidRDefault="00833EFD" w:rsidP="00833EF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* Участник които не е доказ</w:t>
      </w:r>
      <w:r w:rsidR="00520A3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а</w:t>
      </w:r>
      <w:r w:rsidRPr="00833EFD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л липсата на основанията за отстраняване и съответствието си с критериите за подбор ще бъде отстранен от участие.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 НА ОФЕРТАТА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ата се подава на български език,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и електронен носител, в запечатана и непрозрачна опаковка. В офертата си участниците представят следните документи:</w:t>
      </w:r>
    </w:p>
    <w:p w:rsidR="0015009F" w:rsidRPr="00C50525" w:rsidRDefault="0015009F" w:rsidP="00095D5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Опис на представените документи, подписан от участника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="005A57D4"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Образец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№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документация.</w:t>
      </w:r>
    </w:p>
    <w:p w:rsidR="0015009F" w:rsidRPr="00C50525" w:rsidRDefault="0015009F" w:rsidP="00095D59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участник обединение, което не е юридическо лице, се представя копие на документ, от който да е видно правното основание за създаване на обединението, както и следната информация във връзка с настоящата обществена поръчка:</w:t>
      </w:r>
    </w:p>
    <w:p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партньор, който да представлява обединението за целите на обществената поръчка:</w:t>
      </w:r>
    </w:p>
    <w:p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правата и задълженията на участниците в обединението;</w:t>
      </w:r>
    </w:p>
    <w:p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разпределението на отговорността между членовете на обединението;</w:t>
      </w:r>
    </w:p>
    <w:p w:rsidR="0015009F" w:rsidRPr="00C50525" w:rsidRDefault="0015009F" w:rsidP="00095D59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дейностите, които ще изпълнява всеки член на обединението.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допускат промени в състава на обединението след подаване на офертата.</w:t>
      </w:r>
    </w:p>
    <w:p w:rsidR="00417D88" w:rsidRPr="00C50525" w:rsidRDefault="00417D8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отсъствие на обстоятелствата по чл. 54, ал. 1 и чл. 55, ал. 1 от ЗОП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Декларация по </w:t>
      </w:r>
      <w:r w:rsidRPr="00C50525">
        <w:rPr>
          <w:rFonts w:ascii="Times New Roman" w:hAnsi="Times New Roman"/>
          <w:lang w:val="bg-BG"/>
        </w:rPr>
        <w:t>чл. 69 от Закона за противодействие на корупцията и за отнемане на незаконно придобитото имущество (ЗПКОНПИ)</w:t>
      </w:r>
      <w:r w:rsidR="00670256" w:rsidRPr="00C50525">
        <w:rPr>
          <w:rFonts w:ascii="Times New Roman" w:hAnsi="Times New Roman"/>
          <w:lang w:val="bg-BG"/>
        </w:rPr>
        <w:t xml:space="preserve"> – по образец;</w:t>
      </w:r>
    </w:p>
    <w:p w:rsidR="00670256" w:rsidRDefault="00670256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съответствие с критериите за подбор – по образец;</w:t>
      </w:r>
    </w:p>
    <w:p w:rsidR="00A91E72" w:rsidRPr="00A91E72" w:rsidRDefault="00A91E72" w:rsidP="00095D59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91E72">
        <w:rPr>
          <w:rFonts w:ascii="Times New Roman" w:eastAsia="Times New Roman" w:hAnsi="Times New Roman"/>
          <w:lang w:val="bg-BG"/>
        </w:rPr>
        <w:t xml:space="preserve">Декларация по </w:t>
      </w:r>
      <w:r w:rsidRPr="00A91E72">
        <w:rPr>
          <w:rFonts w:ascii="Times New Roman" w:hAnsi="Times New Roman"/>
        </w:rPr>
        <w:t xml:space="preserve">по чл. 47, ал. 3  от ЗОП </w:t>
      </w:r>
    </w:p>
    <w:p w:rsidR="00670256" w:rsidRPr="00C50525" w:rsidRDefault="00670256" w:rsidP="00095D59">
      <w:pPr>
        <w:pStyle w:val="ac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Документи за доказване на предприетите мерки за надеждност, когато е приложимо;</w:t>
      </w:r>
    </w:p>
    <w:p w:rsidR="0015009F" w:rsidRPr="00C50525" w:rsidRDefault="0015009F" w:rsidP="00095D59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Техническо предложение, което съдържа:</w:t>
      </w:r>
    </w:p>
    <w:p w:rsidR="00670256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67025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техническата спецификаци</w:t>
      </w:r>
      <w:r w:rsidR="00BC145E">
        <w:rPr>
          <w:rFonts w:ascii="Times New Roman" w:eastAsia="Times New Roman" w:hAnsi="Times New Roman" w:cs="Times New Roman"/>
          <w:sz w:val="24"/>
          <w:szCs w:val="24"/>
          <w:lang w:val="bg-BG"/>
        </w:rPr>
        <w:t>я и изискванията на възложителя.</w:t>
      </w:r>
      <w:r w:rsidR="0067025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Предложението се изготвя по образец.</w:t>
      </w:r>
    </w:p>
    <w:p w:rsidR="00BC145E" w:rsidRPr="00BC145E" w:rsidRDefault="00BC145E" w:rsidP="00BC14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145E">
        <w:rPr>
          <w:rFonts w:ascii="Times New Roman" w:eastAsia="Times New Roman" w:hAnsi="Times New Roman" w:cs="Times New Roman"/>
          <w:sz w:val="24"/>
          <w:szCs w:val="24"/>
          <w:lang w:val="bg-BG"/>
        </w:rPr>
        <w:t>люстративен материал за предлаганите от Участника съоръжения за игра, оборудване и на ударопоглъщащите настилки (снимки, визуализации или други по преценка на Участника), както и Сертификати или други приложими документи, доказващи съответствието на безопасността на съоръженията за игра с приложимите стандарти за безопасност, съобразно действащата нормативна уредба и съгласно изискванията на Възложителя, разписани в техническите спецификации</w:t>
      </w:r>
      <w:r w:rsidRPr="00BC145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15009F" w:rsidRPr="00C50525" w:rsidRDefault="00670256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) декларация, че при изготвяне на офертата са спазени задълженията, свързани с данъци и осигуровки, опазване на околна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среда, закрила на заетостта и условията на труд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 образец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получат необходимата информация за задълженията, свързани с данъци и осигуровки и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свързани с данъци и осигуровки: Национални агенция по приходите - Информационен телефон на НАП - 0700 18 700: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//www.nap.bg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Относно задълженията, закр</w:t>
      </w:r>
      <w:r w:rsidR="00337E4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ил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а на заетостта и условията на труд: Министерство на труда и социалната политика,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//www.mlsp.government.bg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/: София 1051. ул. Триадица №2. тел: 8119 443.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опазване на околната среда Министерство на околните; среда и водите, интернет адрес: 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http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//www.moew.government.bg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 1000 София. ул. "У. Гладстон"№ 67 тел: 02/940 6331. Информационен център на МОСВ: работи за посетители всеки работен ден от 14 до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 ч.</w:t>
      </w:r>
    </w:p>
    <w:p w:rsidR="00670256" w:rsidRPr="00C50525" w:rsidRDefault="0015009F" w:rsidP="00095D59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Ценово предложение </w:t>
      </w:r>
      <w:r w:rsidR="00670256" w:rsidRPr="00C50525">
        <w:rPr>
          <w:rFonts w:ascii="Times New Roman" w:eastAsia="Times New Roman" w:hAnsi="Times New Roman"/>
          <w:lang w:val="bg-BG"/>
        </w:rPr>
        <w:t>–</w:t>
      </w:r>
      <w:r w:rsidRPr="00C50525">
        <w:rPr>
          <w:rFonts w:ascii="Times New Roman" w:eastAsia="Times New Roman" w:hAnsi="Times New Roman"/>
          <w:lang w:val="bg-BG"/>
        </w:rPr>
        <w:t xml:space="preserve"> </w:t>
      </w:r>
      <w:r w:rsidR="00670256" w:rsidRPr="00C50525">
        <w:rPr>
          <w:rFonts w:ascii="Times New Roman" w:eastAsia="Times New Roman" w:hAnsi="Times New Roman"/>
          <w:bCs/>
          <w:iCs/>
          <w:lang w:val="bg-BG"/>
        </w:rPr>
        <w:t xml:space="preserve">по образец </w:t>
      </w:r>
      <w:r w:rsidRPr="00C50525">
        <w:rPr>
          <w:rFonts w:ascii="Times New Roman" w:eastAsia="Times New Roman" w:hAnsi="Times New Roman"/>
          <w:lang w:val="bg-BG"/>
        </w:rPr>
        <w:t>.</w:t>
      </w:r>
      <w:r w:rsidR="00670256" w:rsidRPr="00C50525">
        <w:rPr>
          <w:rFonts w:ascii="Times New Roman" w:eastAsia="Times New Roman" w:hAnsi="Times New Roman"/>
          <w:lang w:val="bg-BG"/>
        </w:rPr>
        <w:t xml:space="preserve"> 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всеки участник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може да надвишава максималнат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прогнозна стойност на поръчката в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без ДДС.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Всяка предложена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лв. без ДДС се закръглява с точност до втори знак след десетичната запетая.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* Отговорност за евентуално допуснати грешки или пропуски в изчисленията на предложените цени носи единствено участникът в обществената поръчка. В случай на допусната аритметична или техническа грешка при образуване на цените, участникът ще бъде отстранен. Не се допуска разминаване между </w:t>
      </w:r>
      <w:r w:rsidR="007C0B63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цената, изписана с думи и ценат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а, изписана с цифри.</w:t>
      </w:r>
    </w:p>
    <w:p w:rsidR="00670256" w:rsidRPr="00C50525" w:rsidRDefault="0067025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**Участник подал оферта, която не отговаря на условията за представяне, включително за форма, начин и срок се отстранява от процедурата.</w:t>
      </w:r>
    </w:p>
    <w:p w:rsidR="007C0B63" w:rsidRPr="00C50525" w:rsidRDefault="007C0B63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Конфиденциалиост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ност, съответната информация не се разкрива от възложителя.</w:t>
      </w:r>
    </w:p>
    <w:p w:rsidR="00A95184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не могат да се позовават на конфидеициа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ост по отношение на предложенията от офертите им, които подлежат на оценка.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Подаване па оферта на хартиен носител</w:t>
      </w:r>
    </w:p>
    <w:p w:rsidR="0015009F" w:rsidRPr="00EB790F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Документите, свързани с участието в настоящата обществе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адреса: Получател 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гр.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л. „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3</w:t>
      </w:r>
      <w:r w:rsidR="00EB790F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, </w:t>
      </w:r>
      <w:r w:rsidR="00EB790F" w:rsidRPr="00EB79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в работното време от 8:30 до 17:30 часа до датата посочена в обявата</w:t>
      </w:r>
      <w:r w:rsidRPr="00EB790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документи, свързани с участието във възлагането, се представят в запечатана непрозрачна опаковка. Върху опаковката се посочват:</w:t>
      </w:r>
    </w:p>
    <w:p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участника, включително участниците в обединението, когато е приложимо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адрес:</w:t>
      </w:r>
    </w:p>
    <w:p w:rsidR="0015009F" w:rsidRPr="00C50525" w:rsidRDefault="0015009F" w:rsidP="00095D59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поръчката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която се подава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получените оферти за участие при възложителя се води регистър, в който се отбелязват: подател на офертата: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Получените офертите се предават на председателя на комисията по чл. 51 от ППЗОП, за което се съставя протокол с данните на участниците по чл.48. ал. 1 от ППЗОП. Протоколът се подписва от предаващото лице и от председателя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лица за разглеждане и оценка на офертите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97 от ППЗОП.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Отваряне на офертите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 След отваряне на офертата на конкретен участ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 и обявяване на ценовото му предложение, комисията предлага на присъстващ представител на друг участник да подпише техническото и ценовото предложение, след което същите се подписват и от всички членове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Разглеждане на подадените оферти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не разглежда техническите предложения на участниците, за които е установено, че не отговарят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изискванията за лично състояние и на критериите за подбор.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:rsidR="00520A38" w:rsidRDefault="00E427B1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направените от допуснатите участници Предложения за изпълнение на поръчката</w:t>
      </w:r>
      <w:r w:rsidR="00F4080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съответствието им с изискванията на възложителя. </w:t>
      </w:r>
    </w:p>
    <w:p w:rsidR="0015009F" w:rsidRPr="00C50525" w:rsidRDefault="00F4080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разглежда ценовите предложения на допуснатите участници.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участник, чиято оферта не отговаря на изискванията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възложителя, не се оценява.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възлагане и класиране на участниците</w:t>
      </w:r>
    </w:p>
    <w:p w:rsidR="0015009F" w:rsidRPr="00C50525" w:rsidRDefault="00D84BD3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Настоящата обществена поръчка се възлага въз основа на икономически най-изгодна оферта, като критерият за възлагане е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„оптимално съотношение качество/цена”</w:t>
      </w:r>
      <w:r w:rsidR="0015009F" w:rsidRPr="00C50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 70, ал. 2, т. 3 от ЗОП.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Оценка на допуснатите оферти се извършва съгласно следната утвърдена от възложителя методика за оценка на офертите при следните показатели и тежест за определяне на общата комплексна оценка (КО): </w:t>
      </w:r>
    </w:p>
    <w:p w:rsidR="008A6AF8" w:rsidRPr="00C50525" w:rsidRDefault="008A6AF8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1. Цена за изпълнение на поръчката (О1)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- тежест в комплексната оценка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</w:t>
      </w:r>
    </w:p>
    <w:p w:rsidR="008A6AF8" w:rsidRPr="00C50525" w:rsidRDefault="008A6AF8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2. Срок за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(О2)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- тежест в комплексната оценка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</w:t>
      </w:r>
    </w:p>
    <w:p w:rsidR="00472339" w:rsidRPr="00C50525" w:rsidRDefault="00472339" w:rsidP="00C50525">
      <w:pPr>
        <w:autoSpaceDE w:val="0"/>
        <w:autoSpaceDN w:val="0"/>
        <w:adjustRightInd w:val="0"/>
        <w:spacing w:after="28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8A6AF8" w:rsidRPr="00C50525" w:rsidRDefault="00C50525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У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казания за определяне на оценката по всеки показател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1. Цена за изпълнение на поръчката (О1).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Цената за изпълнение на поръчката се оферира в Ценовото предложение на участника, изготвено съгласно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Образец № 1.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Тежестта на показателя оценка на предложената </w:t>
      </w: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Цена за изпълнение на поръчката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(О1)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 от общата комплексна оценка (КО), като максималният брой точки по посочения показател 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точки.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Оценката по показателя се определя по формулата: </w:t>
      </w: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=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О1 мин. </w:t>
      </w:r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x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60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където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 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у </w:t>
      </w:r>
    </w:p>
    <w:p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О1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оценката на цената за изпълнение на поръчкатa на оценявания участник </w:t>
      </w:r>
    </w:p>
    <w:p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О1 мин.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най-ниската предложена цена за изпълнение на поръчката от участниците </w:t>
      </w:r>
    </w:p>
    <w:p w:rsidR="008A6AF8" w:rsidRPr="00C50525" w:rsidRDefault="008A6AF8" w:rsidP="00095D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О1 у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предложената цена за изпълнение на поръчката от оценявания участник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Предложената цена за изпълнение не трябва да надвишава прогнозната стойност </w:t>
      </w:r>
      <w:r w:rsidR="001B126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на поръчката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.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Стойността на получената оценка по показателя се закръгля до втория знак след десетичната запетая. </w:t>
      </w: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2. Срок за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(О2).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Срокът за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се оферира в Предложението за изпълнение на поръчката в съответствие с изискванията на възложителя.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Тежестта на показателя оценка на предложения </w:t>
      </w: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Срок за </w:t>
      </w:r>
      <w:r w:rsidR="00472339"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(О2)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% от общата комплексна оценка (КО), като максималният брой точки по посочения показател е </w:t>
      </w:r>
      <w:r w:rsidR="00472339"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точки.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Оценката по показателя се определя по формулата: </w:t>
      </w: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О2 = 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О2 мин. </w:t>
      </w:r>
      <w:proofErr w:type="gramStart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>x</w:t>
      </w:r>
      <w:proofErr w:type="gramEnd"/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72339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40</w:t>
      </w: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където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О2 у </w:t>
      </w:r>
    </w:p>
    <w:p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оценката на срока за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</w:p>
    <w:p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6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мин.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най-краткият предложен срок за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от участниците </w:t>
      </w:r>
    </w:p>
    <w:p w:rsidR="008A6AF8" w:rsidRPr="00C50525" w:rsidRDefault="008A6AF8" w:rsidP="00095D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О2 у 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е предложеният срок за </w:t>
      </w:r>
      <w:r w:rsidR="00472339"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bg-BG" w:eastAsia="bg-BG"/>
        </w:rPr>
        <w:t>изпълнение</w:t>
      </w:r>
      <w:r w:rsidRPr="00C50525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bg-BG"/>
        </w:rPr>
        <w:t xml:space="preserve"> от оценявания участник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472339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Предложения срок за изпълнение не трябва да надвишава 150 календарни дни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Стойността на получената оценка по показателя се закръгля до втория знак след десетичната запетая. </w:t>
      </w:r>
    </w:p>
    <w:p w:rsidR="008A6AF8" w:rsidRPr="00C50525" w:rsidRDefault="00472339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3</w:t>
      </w:r>
      <w:r w:rsidR="008A6AF8"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. Обща комплексна оценка (КО).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Общата комплексна оценка за класиране на участниците се формира при следната формула: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bg-BG"/>
        </w:rPr>
        <w:t xml:space="preserve">КО = О1 + О2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Максималната Обща комплексна оценка (КО) е 100 точки. </w:t>
      </w:r>
    </w:p>
    <w:p w:rsidR="008A6AF8" w:rsidRPr="00C50525" w:rsidRDefault="008A6AF8" w:rsidP="00C5052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Комисията прилага методиката на оценяване, базираща се на точкова система. </w:t>
      </w:r>
    </w:p>
    <w:p w:rsidR="008A6AF8" w:rsidRPr="00C50525" w:rsidRDefault="008A6AF8" w:rsidP="00C50525">
      <w:pPr>
        <w:widowControl w:val="0"/>
        <w:spacing w:after="0" w:line="360" w:lineRule="auto"/>
        <w:ind w:firstLine="720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Класирането на допуснатите оферти се извършва в низходящ ред въз основа посочената методика и показатели.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Протокол на комисията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съставя протокол за разглеждането и оценката на офертите и за класирането на участниците.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протокола се прилагат всички документи, изготвени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хода на работа на комисията, като мотивите за особените мнения и др., ако има такива.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на комисията се подписва от всички членове и се предава на възложителя заедно с цялата документация.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се представя на възложителя за утвърждаване, след което в един и същ ден се публикува в профила на купувача и се изпраща на участниците:</w:t>
      </w:r>
    </w:p>
    <w:p w:rsidR="0015009F" w:rsidRPr="00C50525" w:rsidRDefault="0015009F" w:rsidP="00095D59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адрес, посочен от всеки участник: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на електронна поща, като съобщението, с което се изпращат, се подписва с електронен подпис, или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чрез пощенска или друга куриерска услуга с препоръчана пратка с обратна разписка;</w:t>
      </w:r>
    </w:p>
    <w:p w:rsidR="0015009F" w:rsidRPr="00C50525" w:rsidRDefault="0015009F" w:rsidP="00095D59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факс.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изпълнител на обществената поръчка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определя за изпълнител на поръчката участник, за когото са изпълнени следните условия:</w:t>
      </w:r>
    </w:p>
    <w:p w:rsidR="0015009F" w:rsidRPr="00C50525" w:rsidRDefault="0015009F" w:rsidP="00095D5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налице основанията за отстраняване  и отговаря на критериите за подбор;</w:t>
      </w:r>
    </w:p>
    <w:p w:rsidR="0015009F" w:rsidRPr="00C50525" w:rsidRDefault="0015009F" w:rsidP="00095D5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Прекратяване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Документи за сключване на договора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представи документ за регистрация в съответствие с изискването по чл. 10, ал. 2;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такива;  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представи определената гаранция за изпълнение на договора;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 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не сключва договор, когато участникът, класиран на първо място: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откаже да сключи договор;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не изпълни някое от посочените по горе условия, или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докаже, че не са налице основания за отстраняване от процедурата. </w:t>
      </w:r>
    </w:p>
    <w:p w:rsidR="002E60A2" w:rsidRPr="00C50525" w:rsidRDefault="001105F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отказ се приема и неявяването на уговорената дата, освен ако неявяването е по обективни причини, за което възложителят е уведомен своевременно.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Сключване и изменение на договор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сключва договор за обществена поръчка с определения изпълнител в 30- дневен срок от датата на определяне на изпълнителя.</w:t>
      </w:r>
    </w:p>
    <w:p w:rsidR="001105F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та поръчката.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Промени в проекта на договор се допускат го изключение, когато е изпълнено условието по чл. 116, ал. 1, т.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 и са наложени от обстоятелства, настъпили по време или след провеждане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сключи договор със следващия класиран участник, когато избраният за изпълнител 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договорите за обществени поръчки изпълнителите и техните подизпълнители са длъжни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договора е допустимо само в приложимите случаи по чл.116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по чл. 116. ал. 1, т. 6 от ЗОП изменение на договор е допустимо, при условие че след изменението общата стойност на договора не надхвърля праговите стойност по чл. 20. ал. 3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ДРУГА ИНФОРМАЦИЯ</w:t>
      </w:r>
    </w:p>
    <w:p w:rsidR="0015009F" w:rsidRPr="00C50525" w:rsidRDefault="00C50525" w:rsidP="00C505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всички неуредените въпроси в документацията по настоящата обществена поръчка се прилагат </w:t>
      </w:r>
      <w:r w:rsidR="0015009F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разпоредбите на ЗОП </w:t>
      </w:r>
      <w:r w:rsidR="00AE57B6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E57B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AE57B6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15009F" w:rsidRPr="00AE5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ППЗОП.</w:t>
      </w:r>
    </w:p>
    <w:sectPr w:rsidR="0015009F" w:rsidRPr="00C50525" w:rsidSect="003439CE">
      <w:headerReference w:type="default" r:id="rId10"/>
      <w:footerReference w:type="default" r:id="rId11"/>
      <w:pgSz w:w="11906" w:h="16838"/>
      <w:pgMar w:top="1417" w:right="1133" w:bottom="1417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0F65E" w15:done="0"/>
  <w15:commentEx w15:paraId="25B83C4E" w15:done="0"/>
  <w15:commentEx w15:paraId="27EE531B" w15:done="0"/>
  <w15:commentEx w15:paraId="7CF6F352" w15:done="0"/>
  <w15:commentEx w15:paraId="28E179B1" w15:done="0"/>
  <w15:commentEx w15:paraId="6D063A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AF" w:rsidRDefault="007326AF" w:rsidP="003439CE">
      <w:pPr>
        <w:spacing w:after="0" w:line="240" w:lineRule="auto"/>
      </w:pPr>
      <w:r>
        <w:separator/>
      </w:r>
    </w:p>
  </w:endnote>
  <w:endnote w:type="continuationSeparator" w:id="0">
    <w:p w:rsidR="007326AF" w:rsidRDefault="007326AF" w:rsidP="003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E2" w:rsidRPr="006E360C" w:rsidRDefault="00C91B62">
    <w:pPr>
      <w:pStyle w:val="a5"/>
      <w:jc w:val="right"/>
      <w:rPr>
        <w:rFonts w:ascii="Times New Roman" w:hAnsi="Times New Roman" w:cs="Times New Roman"/>
      </w:rPr>
    </w:pPr>
    <w:r w:rsidRPr="006E360C">
      <w:rPr>
        <w:rFonts w:ascii="Times New Roman" w:hAnsi="Times New Roman" w:cs="Times New Roman"/>
      </w:rPr>
      <w:fldChar w:fldCharType="begin"/>
    </w:r>
    <w:r w:rsidR="008251E2" w:rsidRPr="006E360C">
      <w:rPr>
        <w:rFonts w:ascii="Times New Roman" w:hAnsi="Times New Roman" w:cs="Times New Roman"/>
      </w:rPr>
      <w:instrText>PAGE   \* MERGEFORMAT</w:instrText>
    </w:r>
    <w:r w:rsidRPr="006E360C">
      <w:rPr>
        <w:rFonts w:ascii="Times New Roman" w:hAnsi="Times New Roman" w:cs="Times New Roman"/>
      </w:rPr>
      <w:fldChar w:fldCharType="separate"/>
    </w:r>
    <w:r w:rsidR="009F094D" w:rsidRPr="009F094D">
      <w:rPr>
        <w:rFonts w:ascii="Times New Roman" w:hAnsi="Times New Roman" w:cs="Times New Roman"/>
        <w:noProof/>
        <w:lang w:val="bg-BG"/>
      </w:rPr>
      <w:t>3</w:t>
    </w:r>
    <w:r w:rsidRPr="006E360C">
      <w:rPr>
        <w:rFonts w:ascii="Times New Roman" w:hAnsi="Times New Roman" w:cs="Times New Roman"/>
      </w:rPr>
      <w:fldChar w:fldCharType="end"/>
    </w:r>
  </w:p>
  <w:p w:rsidR="008251E2" w:rsidRPr="003439CE" w:rsidRDefault="008251E2" w:rsidP="003439CE">
    <w:pPr>
      <w:pStyle w:val="a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AF" w:rsidRDefault="007326AF" w:rsidP="003439CE">
      <w:pPr>
        <w:spacing w:after="0" w:line="240" w:lineRule="auto"/>
      </w:pPr>
      <w:r>
        <w:separator/>
      </w:r>
    </w:p>
  </w:footnote>
  <w:footnote w:type="continuationSeparator" w:id="0">
    <w:p w:rsidR="007326AF" w:rsidRDefault="007326AF" w:rsidP="0034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E2" w:rsidRDefault="008251E2" w:rsidP="003439CE">
    <w:pPr>
      <w:shd w:val="clear" w:color="auto" w:fill="FFFFFF"/>
      <w:suppressAutoHyphens/>
      <w:spacing w:after="144" w:line="240" w:lineRule="auto"/>
      <w:rPr>
        <w:rFonts w:ascii="Times New Roman" w:hAnsi="Times New Roman" w:cs="Times New Roman"/>
        <w:sz w:val="2"/>
        <w:szCs w:val="2"/>
        <w:lang w:val="bg-BG" w:eastAsia="ar-SA"/>
      </w:rPr>
    </w:pPr>
    <w:r>
      <w:rPr>
        <w:noProof/>
        <w:lang w:val="bg-BG" w:eastAsia="bg-BG"/>
      </w:rPr>
      <w:drawing>
        <wp:inline distT="0" distB="0" distL="0" distR="0">
          <wp:extent cx="668655" cy="743585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Wingdings 2" w:hAnsi="Wingdings 2" w:cs="Wingdings 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 2" w:hAnsi="Wingdings 2" w:cs="Wingdings 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3">
    <w:nsid w:val="0000001D"/>
    <w:multiLevelType w:val="multilevel"/>
    <w:tmpl w:val="96A4B108"/>
    <w:name w:val="WW8Num29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571" w:hanging="72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5DF6327"/>
    <w:multiLevelType w:val="multilevel"/>
    <w:tmpl w:val="56AC7BF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63AD8"/>
    <w:multiLevelType w:val="multilevel"/>
    <w:tmpl w:val="5D7A9E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A2091"/>
    <w:multiLevelType w:val="hybridMultilevel"/>
    <w:tmpl w:val="6EA4F042"/>
    <w:lvl w:ilvl="0" w:tplc="745C48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E3A497F"/>
    <w:multiLevelType w:val="multilevel"/>
    <w:tmpl w:val="E9E20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234C4"/>
    <w:multiLevelType w:val="multilevel"/>
    <w:tmpl w:val="0016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251A8"/>
    <w:multiLevelType w:val="multilevel"/>
    <w:tmpl w:val="D51C54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71F46"/>
    <w:multiLevelType w:val="multilevel"/>
    <w:tmpl w:val="DB642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AC2810"/>
    <w:multiLevelType w:val="multilevel"/>
    <w:tmpl w:val="419A43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26A74"/>
    <w:multiLevelType w:val="multilevel"/>
    <w:tmpl w:val="5E0661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96891"/>
    <w:multiLevelType w:val="multilevel"/>
    <w:tmpl w:val="BE10DDB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8B4D8F"/>
    <w:multiLevelType w:val="multilevel"/>
    <w:tmpl w:val="6464C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03290"/>
    <w:multiLevelType w:val="hybridMultilevel"/>
    <w:tmpl w:val="E5824A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46122"/>
    <w:multiLevelType w:val="hybridMultilevel"/>
    <w:tmpl w:val="52807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8550B"/>
    <w:multiLevelType w:val="multilevel"/>
    <w:tmpl w:val="891C61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951A65"/>
    <w:multiLevelType w:val="multilevel"/>
    <w:tmpl w:val="806405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C5911"/>
    <w:multiLevelType w:val="multilevel"/>
    <w:tmpl w:val="62E42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18"/>
  </w:num>
  <w:num w:numId="9">
    <w:abstractNumId w:val="1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требител на Windows">
    <w15:presenceInfo w15:providerId="None" w15:userId="Потребител на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A5666"/>
    <w:rsid w:val="00011E34"/>
    <w:rsid w:val="000345C2"/>
    <w:rsid w:val="000600F0"/>
    <w:rsid w:val="00077DDF"/>
    <w:rsid w:val="00095D59"/>
    <w:rsid w:val="00096755"/>
    <w:rsid w:val="00096812"/>
    <w:rsid w:val="000A789A"/>
    <w:rsid w:val="000A7DCD"/>
    <w:rsid w:val="000A7EF5"/>
    <w:rsid w:val="000B6483"/>
    <w:rsid w:val="000E11F6"/>
    <w:rsid w:val="000F0CA1"/>
    <w:rsid w:val="000F28EC"/>
    <w:rsid w:val="00102A97"/>
    <w:rsid w:val="001105FF"/>
    <w:rsid w:val="00131051"/>
    <w:rsid w:val="0014596F"/>
    <w:rsid w:val="0015009F"/>
    <w:rsid w:val="00154029"/>
    <w:rsid w:val="001736A1"/>
    <w:rsid w:val="001844C2"/>
    <w:rsid w:val="001A505B"/>
    <w:rsid w:val="001A5666"/>
    <w:rsid w:val="001B1262"/>
    <w:rsid w:val="001C49AB"/>
    <w:rsid w:val="001E6027"/>
    <w:rsid w:val="00201FF6"/>
    <w:rsid w:val="0020202D"/>
    <w:rsid w:val="00211295"/>
    <w:rsid w:val="00232E8E"/>
    <w:rsid w:val="002404D0"/>
    <w:rsid w:val="00242F1F"/>
    <w:rsid w:val="00260536"/>
    <w:rsid w:val="00260855"/>
    <w:rsid w:val="00260949"/>
    <w:rsid w:val="00262074"/>
    <w:rsid w:val="002671EB"/>
    <w:rsid w:val="002732C1"/>
    <w:rsid w:val="00282C42"/>
    <w:rsid w:val="00291D9B"/>
    <w:rsid w:val="00297F78"/>
    <w:rsid w:val="002B6844"/>
    <w:rsid w:val="002E4747"/>
    <w:rsid w:val="002E60A2"/>
    <w:rsid w:val="00322816"/>
    <w:rsid w:val="00337E43"/>
    <w:rsid w:val="003439CE"/>
    <w:rsid w:val="00350F8C"/>
    <w:rsid w:val="00353D76"/>
    <w:rsid w:val="0035730C"/>
    <w:rsid w:val="0037794D"/>
    <w:rsid w:val="00381E52"/>
    <w:rsid w:val="0039289F"/>
    <w:rsid w:val="003B2C84"/>
    <w:rsid w:val="003D0C20"/>
    <w:rsid w:val="00412EF8"/>
    <w:rsid w:val="00417D88"/>
    <w:rsid w:val="00420486"/>
    <w:rsid w:val="00420F67"/>
    <w:rsid w:val="004234C4"/>
    <w:rsid w:val="004251B2"/>
    <w:rsid w:val="00447C6A"/>
    <w:rsid w:val="004574D7"/>
    <w:rsid w:val="00472339"/>
    <w:rsid w:val="00475B47"/>
    <w:rsid w:val="004914EE"/>
    <w:rsid w:val="004B116D"/>
    <w:rsid w:val="004C1A5C"/>
    <w:rsid w:val="004C3225"/>
    <w:rsid w:val="004C3CBE"/>
    <w:rsid w:val="004C64C7"/>
    <w:rsid w:val="004D6CC5"/>
    <w:rsid w:val="004F2551"/>
    <w:rsid w:val="00504FED"/>
    <w:rsid w:val="00505DEC"/>
    <w:rsid w:val="00516447"/>
    <w:rsid w:val="00520A38"/>
    <w:rsid w:val="0053304C"/>
    <w:rsid w:val="005455BB"/>
    <w:rsid w:val="0055713A"/>
    <w:rsid w:val="00563931"/>
    <w:rsid w:val="005657D8"/>
    <w:rsid w:val="00592DE1"/>
    <w:rsid w:val="005A57D4"/>
    <w:rsid w:val="005C7EC5"/>
    <w:rsid w:val="005D0865"/>
    <w:rsid w:val="005D5B81"/>
    <w:rsid w:val="005D6CB7"/>
    <w:rsid w:val="005E5359"/>
    <w:rsid w:val="005E575F"/>
    <w:rsid w:val="00606846"/>
    <w:rsid w:val="006146FC"/>
    <w:rsid w:val="0062676D"/>
    <w:rsid w:val="00630297"/>
    <w:rsid w:val="00670256"/>
    <w:rsid w:val="00691B78"/>
    <w:rsid w:val="00694421"/>
    <w:rsid w:val="006A3003"/>
    <w:rsid w:val="006B0AF8"/>
    <w:rsid w:val="006B2BF8"/>
    <w:rsid w:val="006C7E4B"/>
    <w:rsid w:val="006E360C"/>
    <w:rsid w:val="006E3A09"/>
    <w:rsid w:val="006E74A2"/>
    <w:rsid w:val="006F737B"/>
    <w:rsid w:val="00727187"/>
    <w:rsid w:val="007326AF"/>
    <w:rsid w:val="00767F80"/>
    <w:rsid w:val="0077776F"/>
    <w:rsid w:val="0078015A"/>
    <w:rsid w:val="0078468F"/>
    <w:rsid w:val="007C0B63"/>
    <w:rsid w:val="007F3139"/>
    <w:rsid w:val="007F4101"/>
    <w:rsid w:val="00817CF1"/>
    <w:rsid w:val="008251E2"/>
    <w:rsid w:val="008335F6"/>
    <w:rsid w:val="00833EFD"/>
    <w:rsid w:val="00835973"/>
    <w:rsid w:val="0084041D"/>
    <w:rsid w:val="008755E3"/>
    <w:rsid w:val="00887582"/>
    <w:rsid w:val="008A692B"/>
    <w:rsid w:val="008A6AF8"/>
    <w:rsid w:val="008B021F"/>
    <w:rsid w:val="008B5AF9"/>
    <w:rsid w:val="008C7CDC"/>
    <w:rsid w:val="008E31F1"/>
    <w:rsid w:val="008E7068"/>
    <w:rsid w:val="008F0766"/>
    <w:rsid w:val="00900D45"/>
    <w:rsid w:val="00940D2B"/>
    <w:rsid w:val="00941D0B"/>
    <w:rsid w:val="00952B41"/>
    <w:rsid w:val="00961081"/>
    <w:rsid w:val="009632E7"/>
    <w:rsid w:val="00975D0B"/>
    <w:rsid w:val="009A2D02"/>
    <w:rsid w:val="009B1547"/>
    <w:rsid w:val="009B1FDB"/>
    <w:rsid w:val="009C4175"/>
    <w:rsid w:val="009E0154"/>
    <w:rsid w:val="009F094D"/>
    <w:rsid w:val="009F53FF"/>
    <w:rsid w:val="009F6D72"/>
    <w:rsid w:val="00A114DF"/>
    <w:rsid w:val="00A23E47"/>
    <w:rsid w:val="00A25BBB"/>
    <w:rsid w:val="00A27ED5"/>
    <w:rsid w:val="00A37227"/>
    <w:rsid w:val="00A5306F"/>
    <w:rsid w:val="00A6068B"/>
    <w:rsid w:val="00A7313E"/>
    <w:rsid w:val="00A74714"/>
    <w:rsid w:val="00A83688"/>
    <w:rsid w:val="00A91E72"/>
    <w:rsid w:val="00A95184"/>
    <w:rsid w:val="00AB2C00"/>
    <w:rsid w:val="00AC6121"/>
    <w:rsid w:val="00AD0DDE"/>
    <w:rsid w:val="00AE57B6"/>
    <w:rsid w:val="00B040F8"/>
    <w:rsid w:val="00B22B14"/>
    <w:rsid w:val="00B36F58"/>
    <w:rsid w:val="00B429F0"/>
    <w:rsid w:val="00B519B4"/>
    <w:rsid w:val="00B52935"/>
    <w:rsid w:val="00B679C6"/>
    <w:rsid w:val="00B745B2"/>
    <w:rsid w:val="00B832F0"/>
    <w:rsid w:val="00B95FE6"/>
    <w:rsid w:val="00B9675D"/>
    <w:rsid w:val="00B97EDC"/>
    <w:rsid w:val="00BA0B17"/>
    <w:rsid w:val="00BC0F19"/>
    <w:rsid w:val="00BC145E"/>
    <w:rsid w:val="00BD2D33"/>
    <w:rsid w:val="00C107BE"/>
    <w:rsid w:val="00C15B84"/>
    <w:rsid w:val="00C50525"/>
    <w:rsid w:val="00C52549"/>
    <w:rsid w:val="00C53B73"/>
    <w:rsid w:val="00C618BF"/>
    <w:rsid w:val="00C6525F"/>
    <w:rsid w:val="00C66018"/>
    <w:rsid w:val="00C73E2C"/>
    <w:rsid w:val="00C75CAF"/>
    <w:rsid w:val="00C8618C"/>
    <w:rsid w:val="00C91B62"/>
    <w:rsid w:val="00C92976"/>
    <w:rsid w:val="00C93DFC"/>
    <w:rsid w:val="00C979D6"/>
    <w:rsid w:val="00CA0897"/>
    <w:rsid w:val="00CA6EDE"/>
    <w:rsid w:val="00CC79B1"/>
    <w:rsid w:val="00CE44A2"/>
    <w:rsid w:val="00CF4009"/>
    <w:rsid w:val="00D13517"/>
    <w:rsid w:val="00D2001F"/>
    <w:rsid w:val="00D37A3E"/>
    <w:rsid w:val="00D47B60"/>
    <w:rsid w:val="00D503AB"/>
    <w:rsid w:val="00D546AD"/>
    <w:rsid w:val="00D6272A"/>
    <w:rsid w:val="00D65497"/>
    <w:rsid w:val="00D84BD3"/>
    <w:rsid w:val="00D95DF4"/>
    <w:rsid w:val="00DA1E94"/>
    <w:rsid w:val="00DD3B0A"/>
    <w:rsid w:val="00E030DE"/>
    <w:rsid w:val="00E427B1"/>
    <w:rsid w:val="00E77BCF"/>
    <w:rsid w:val="00EA1386"/>
    <w:rsid w:val="00EA65BC"/>
    <w:rsid w:val="00EB77BB"/>
    <w:rsid w:val="00EB790F"/>
    <w:rsid w:val="00EE3EB1"/>
    <w:rsid w:val="00EF5C7F"/>
    <w:rsid w:val="00F0544E"/>
    <w:rsid w:val="00F134E3"/>
    <w:rsid w:val="00F13742"/>
    <w:rsid w:val="00F40806"/>
    <w:rsid w:val="00F4394F"/>
    <w:rsid w:val="00F5346B"/>
    <w:rsid w:val="00F54598"/>
    <w:rsid w:val="00F82EF3"/>
    <w:rsid w:val="00F8673D"/>
    <w:rsid w:val="00F935EC"/>
    <w:rsid w:val="00FA5673"/>
    <w:rsid w:val="00FB1DA4"/>
    <w:rsid w:val="00FB3FD8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locked/>
    <w:rsid w:val="00691B78"/>
    <w:rPr>
      <w:rFonts w:ascii="Cambria" w:hAnsi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locked/>
    <w:rsid w:val="00691B78"/>
    <w:rPr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locked/>
    <w:rsid w:val="00691B78"/>
    <w:rPr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locked/>
    <w:rsid w:val="00691B78"/>
    <w:rPr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locked/>
    <w:rsid w:val="00691B78"/>
    <w:rPr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locked/>
    <w:rsid w:val="00691B78"/>
    <w:rPr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locked/>
    <w:rsid w:val="00691B78"/>
    <w:rPr>
      <w:rFonts w:ascii="Cambria" w:hAnsi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val="en-GB" w:eastAsia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  <w:style w:type="character" w:customStyle="1" w:styleId="af3">
    <w:name w:val="Основной текст_"/>
    <w:basedOn w:val="a0"/>
    <w:link w:val="af4"/>
    <w:rsid w:val="002B68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basedOn w:val="af3"/>
    <w:rsid w:val="002B684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okAntiqua">
    <w:name w:val="Основной текст + Book Antiqua"/>
    <w:aliases w:val="11 pt,Полужирный,Курсив"/>
    <w:basedOn w:val="af3"/>
    <w:rsid w:val="002B6844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af4">
    <w:name w:val="Основной текст"/>
    <w:basedOn w:val="a"/>
    <w:link w:val="af3"/>
    <w:rsid w:val="002B6844"/>
    <w:pPr>
      <w:widowControl w:val="0"/>
      <w:shd w:val="clear" w:color="auto" w:fill="FFFFFF"/>
      <w:spacing w:before="120" w:after="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  <w:lang w:val="bg-BG" w:eastAsia="bg-BG"/>
    </w:rPr>
  </w:style>
  <w:style w:type="character" w:styleId="af6">
    <w:name w:val="annotation reference"/>
    <w:basedOn w:val="a0"/>
    <w:uiPriority w:val="99"/>
    <w:semiHidden/>
    <w:unhideWhenUsed/>
    <w:locked/>
    <w:rsid w:val="00350F8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350F8C"/>
    <w:pPr>
      <w:spacing w:line="240" w:lineRule="auto"/>
    </w:pPr>
    <w:rPr>
      <w:sz w:val="20"/>
      <w:szCs w:val="20"/>
    </w:rPr>
  </w:style>
  <w:style w:type="character" w:customStyle="1" w:styleId="af8">
    <w:name w:val="Текст на коментар Знак"/>
    <w:basedOn w:val="a0"/>
    <w:link w:val="af7"/>
    <w:uiPriority w:val="99"/>
    <w:semiHidden/>
    <w:rsid w:val="00350F8C"/>
    <w:rPr>
      <w:rFonts w:cs="Calibri"/>
      <w:lang w:val="en-GB"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350F8C"/>
    <w:rPr>
      <w:b/>
      <w:bCs/>
    </w:rPr>
  </w:style>
  <w:style w:type="character" w:customStyle="1" w:styleId="afa">
    <w:name w:val="Предмет на коментар Знак"/>
    <w:basedOn w:val="af8"/>
    <w:link w:val="af9"/>
    <w:uiPriority w:val="99"/>
    <w:semiHidden/>
    <w:rsid w:val="00350F8C"/>
    <w:rPr>
      <w:rFonts w:cs="Calibri"/>
      <w:b/>
      <w:bCs/>
      <w:lang w:val="en-GB" w:eastAsia="en-US"/>
    </w:rPr>
  </w:style>
  <w:style w:type="character" w:customStyle="1" w:styleId="BodytextBold">
    <w:name w:val="Body text + Bold"/>
    <w:basedOn w:val="a0"/>
    <w:rsid w:val="00F82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F82EF3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Bodytext0"/>
    <w:rsid w:val="00F82EF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Candara95pt">
    <w:name w:val="Body text + Candara;9;5 pt"/>
    <w:basedOn w:val="Bodytext"/>
    <w:rsid w:val="00F82EF3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paragraph" w:customStyle="1" w:styleId="Bodytext0">
    <w:name w:val="Body text"/>
    <w:basedOn w:val="a"/>
    <w:link w:val="Bodytext"/>
    <w:rsid w:val="00F82EF3"/>
    <w:pPr>
      <w:widowControl w:val="0"/>
      <w:shd w:val="clear" w:color="auto" w:fill="FFFFFF"/>
      <w:spacing w:before="420" w:after="180"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paragraph" w:customStyle="1" w:styleId="Bodytext20">
    <w:name w:val="Body text (2)"/>
    <w:basedOn w:val="a"/>
    <w:link w:val="Bodytext2"/>
    <w:rsid w:val="00F82EF3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gyurishte.org.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agyurishte.nit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B699-0A45-465C-8CBC-ED95ADED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26</Pages>
  <Words>7209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2019-05-21T08:03:00Z</cp:lastPrinted>
  <dcterms:created xsi:type="dcterms:W3CDTF">2019-03-21T13:57:00Z</dcterms:created>
  <dcterms:modified xsi:type="dcterms:W3CDTF">2019-06-24T12:16:00Z</dcterms:modified>
</cp:coreProperties>
</file>